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30BA" w14:textId="5F45FD4F" w:rsidR="00F46D65" w:rsidRDefault="000F5651" w:rsidP="0087057F">
      <w:pPr>
        <w:rPr>
          <w:b/>
          <w:bCs/>
        </w:rPr>
      </w:pPr>
      <w:r w:rsidRPr="00660F4A">
        <w:rPr>
          <w:b/>
          <w:bCs/>
        </w:rPr>
        <w:t xml:space="preserve">TD </w:t>
      </w:r>
      <w:r w:rsidR="00F26813" w:rsidRPr="00660F4A">
        <w:rPr>
          <w:b/>
          <w:bCs/>
        </w:rPr>
        <w:t xml:space="preserve">Les </w:t>
      </w:r>
      <w:r w:rsidR="00F912BA" w:rsidRPr="00660F4A">
        <w:rPr>
          <w:b/>
          <w:bCs/>
        </w:rPr>
        <w:t>concepts fondamentaux</w:t>
      </w:r>
    </w:p>
    <w:p w14:paraId="56ED9D13" w14:textId="347D1D24" w:rsidR="00660F4A" w:rsidRDefault="00660F4A" w:rsidP="00660F4A">
      <w:pPr>
        <w:jc w:val="center"/>
        <w:rPr>
          <w:b/>
          <w:bCs/>
          <w:sz w:val="32"/>
          <w:szCs w:val="32"/>
        </w:rPr>
      </w:pPr>
      <w:r w:rsidRPr="00660F4A">
        <w:rPr>
          <w:b/>
          <w:bCs/>
          <w:sz w:val="32"/>
          <w:szCs w:val="32"/>
        </w:rPr>
        <w:t>Le confort</w:t>
      </w:r>
    </w:p>
    <w:p w14:paraId="19564592" w14:textId="5872672A" w:rsidR="005A4951" w:rsidRPr="005C49D7" w:rsidRDefault="005C49D7" w:rsidP="005A4951">
      <w:pPr>
        <w:rPr>
          <w:b/>
          <w:bCs/>
        </w:rPr>
      </w:pPr>
      <w:r w:rsidRPr="005C49D7">
        <w:rPr>
          <w:b/>
          <w:bCs/>
        </w:rPr>
        <w:t>Groupe 4 :</w:t>
      </w:r>
    </w:p>
    <w:p w14:paraId="6AA43215" w14:textId="1837E2A4" w:rsidR="00660F4A" w:rsidRDefault="00FE70CD" w:rsidP="005C49D7">
      <w:pPr>
        <w:spacing w:after="0"/>
      </w:pPr>
      <w:r>
        <w:t>Bedos Leelou</w:t>
      </w:r>
    </w:p>
    <w:p w14:paraId="66060EED" w14:textId="25C2C5C7" w:rsidR="00FE70CD" w:rsidRDefault="005A4951" w:rsidP="005C49D7">
      <w:pPr>
        <w:spacing w:after="0"/>
      </w:pPr>
      <w:r>
        <w:t>Perrussel Emmie</w:t>
      </w:r>
    </w:p>
    <w:p w14:paraId="361FD095" w14:textId="48E97A91" w:rsidR="005A4951" w:rsidRDefault="005A4951" w:rsidP="005C49D7">
      <w:pPr>
        <w:spacing w:after="0"/>
      </w:pPr>
      <w:r>
        <w:t>Mathieu Léna</w:t>
      </w:r>
    </w:p>
    <w:p w14:paraId="3EBD3419" w14:textId="39564B15" w:rsidR="005A4951" w:rsidRDefault="005A4951" w:rsidP="005C49D7">
      <w:pPr>
        <w:spacing w:after="0"/>
      </w:pPr>
      <w:r>
        <w:t>Alvarez Luciana</w:t>
      </w:r>
    </w:p>
    <w:p w14:paraId="617301BB" w14:textId="64C9D691" w:rsidR="005A4951" w:rsidRDefault="005A4951" w:rsidP="005C49D7">
      <w:pPr>
        <w:spacing w:after="0"/>
      </w:pPr>
      <w:r>
        <w:t>Fordellone Karen</w:t>
      </w:r>
    </w:p>
    <w:p w14:paraId="14AE044D" w14:textId="07671CD1" w:rsidR="005C49D7" w:rsidRPr="00FE70CD" w:rsidRDefault="005C49D7" w:rsidP="005C49D7">
      <w:pPr>
        <w:spacing w:after="0"/>
      </w:pPr>
    </w:p>
    <w:p w14:paraId="717D35B8" w14:textId="63C8B40B" w:rsidR="005C751A" w:rsidRPr="002506D5" w:rsidRDefault="0087057F" w:rsidP="005C751A">
      <w:pPr>
        <w:pStyle w:val="Paragraphedeliste"/>
        <w:numPr>
          <w:ilvl w:val="0"/>
          <w:numId w:val="3"/>
        </w:numPr>
        <w:rPr>
          <w:b/>
          <w:bCs/>
        </w:rPr>
      </w:pPr>
      <w:r w:rsidRPr="002506D5">
        <w:rPr>
          <w:b/>
          <w:bCs/>
        </w:rPr>
        <w:t xml:space="preserve">Le concept </w:t>
      </w:r>
    </w:p>
    <w:p w14:paraId="4682026E" w14:textId="6A4E2B65" w:rsidR="0087057F" w:rsidRDefault="0087057F" w:rsidP="0087057F">
      <w:r>
        <w:t>« La définition la plus large du concept…peut s’illustrer avec l’exemple classique des mots table ou chaise. Un concept est alors envisagé comme un ensemble d’éléments qui possèdent les mêmes attributs. »</w:t>
      </w:r>
      <w:r>
        <w:rPr>
          <w:rStyle w:val="Appelnotedebasdep"/>
        </w:rPr>
        <w:footnoteReference w:id="1"/>
      </w:r>
      <w:r w:rsidR="001E799F">
        <w:t xml:space="preserve"> </w:t>
      </w:r>
      <w:r w:rsidR="002E1B75">
        <w:t>Un attribut est définit comme étant « c</w:t>
      </w:r>
      <w:r w:rsidR="002E1B75" w:rsidRPr="002E1B75">
        <w:t>e qui appartient en propre à quelqu'un, à quelque chose</w:t>
      </w:r>
      <w:r w:rsidR="002E1B75">
        <w:t> »</w:t>
      </w:r>
      <w:r w:rsidR="00642409">
        <w:rPr>
          <w:rStyle w:val="Appelnotedebasdep"/>
        </w:rPr>
        <w:footnoteReference w:id="2"/>
      </w:r>
    </w:p>
    <w:p w14:paraId="04A420F6" w14:textId="07DE93A3" w:rsidR="0087057F" w:rsidRDefault="0087057F" w:rsidP="0087057F">
      <w:r>
        <w:t>« Un concept est une représentation mentale abstraite. » « Chacun peut en donner une définition, compte tenu de son niveau de connaissances et d’érudition dans un champ disciplinaire donné. »</w:t>
      </w:r>
      <w:r>
        <w:rPr>
          <w:rStyle w:val="Appelnotedebasdep"/>
        </w:rPr>
        <w:footnoteReference w:id="3"/>
      </w:r>
      <w:r>
        <w:t xml:space="preserve">  Erudition étant défini comme un « Savoir approfondi »</w:t>
      </w:r>
      <w:r>
        <w:rPr>
          <w:rStyle w:val="Appelnotedebasdep"/>
        </w:rPr>
        <w:footnoteReference w:id="4"/>
      </w:r>
      <w:r>
        <w:t xml:space="preserve">  .</w:t>
      </w:r>
    </w:p>
    <w:p w14:paraId="6BAD77E2" w14:textId="71CA9433" w:rsidR="00E36922" w:rsidRDefault="00327DDE" w:rsidP="0087057F">
      <w:r>
        <w:t>« </w:t>
      </w:r>
      <w:r w:rsidR="00EC379C">
        <w:t>…</w:t>
      </w:r>
      <w:r w:rsidRPr="00327DDE">
        <w:t>un concept est précisément une combinaison d’attributs, formant une généralité à la suite d’une prise de conscience qu’un ou plusieurs attributs sont communs à un objet donné. Cette combinaison d’attributs rend un concept différent d’un autre. La spécificité du concept réside dans l’objectivité et l’universalité qu’il tente de poser. De nature opératoire, le concept est un instrument de pensée qui clarifie et délimite. Son utilité est manifeste, car il permet de résoudre des problèmes, de solutionner des problématiques avec efficacité. C’est l’opérativité même du concept qui lui accorde un statut d’universalité</w:t>
      </w:r>
      <w:r>
        <w:t>. »</w:t>
      </w:r>
      <w:r w:rsidR="004B72E8">
        <w:rPr>
          <w:rStyle w:val="Appelnotedebasdep"/>
        </w:rPr>
        <w:footnoteReference w:id="5"/>
      </w:r>
    </w:p>
    <w:p w14:paraId="6149D615" w14:textId="1D97F818" w:rsidR="00B130DE" w:rsidRDefault="0087057F" w:rsidP="0087057F">
      <w:r>
        <w:t>Selon ces définitions le concept</w:t>
      </w:r>
      <w:r w:rsidR="00BC1DB1">
        <w:t xml:space="preserve"> est </w:t>
      </w:r>
      <w:r w:rsidR="00F24E40">
        <w:t>un élément spécifique</w:t>
      </w:r>
      <w:r w:rsidR="00771B0A">
        <w:t xml:space="preserve"> qui peut </w:t>
      </w:r>
      <w:r>
        <w:t xml:space="preserve">représenter une chose </w:t>
      </w:r>
      <w:r w:rsidR="00321FB8">
        <w:t xml:space="preserve">réelle et </w:t>
      </w:r>
      <w:r>
        <w:t>concrète comme une chaise</w:t>
      </w:r>
      <w:r w:rsidR="00771B0A">
        <w:t>.</w:t>
      </w:r>
      <w:r w:rsidR="00371BEB">
        <w:t xml:space="preserve"> </w:t>
      </w:r>
      <w:r w:rsidR="00B130DE">
        <w:t xml:space="preserve">Il peut </w:t>
      </w:r>
      <w:r w:rsidR="00D15767">
        <w:t>également</w:t>
      </w:r>
      <w:r w:rsidR="00B130DE">
        <w:t xml:space="preserve"> représenter un élément abstrait non visible à l’œil nu, comme par exemple le confort.</w:t>
      </w:r>
      <w:r w:rsidR="001419D2">
        <w:t xml:space="preserve"> Le concept, qu’il soit </w:t>
      </w:r>
      <w:r w:rsidR="002B4474">
        <w:t>concret</w:t>
      </w:r>
      <w:r w:rsidR="001419D2">
        <w:t xml:space="preserve"> ou non sera représenté de façon commune par un ensemble d’élément</w:t>
      </w:r>
      <w:r w:rsidR="00D15767">
        <w:t>s</w:t>
      </w:r>
      <w:r w:rsidR="001419D2">
        <w:t>.</w:t>
      </w:r>
      <w:r w:rsidR="002B4474">
        <w:t xml:space="preserve"> Il s’agit de ces attributs.</w:t>
      </w:r>
    </w:p>
    <w:p w14:paraId="2C400C82" w14:textId="3C8BE304" w:rsidR="004133C1" w:rsidRDefault="007F618C" w:rsidP="0087057F">
      <w:r>
        <w:t>L</w:t>
      </w:r>
      <w:r w:rsidRPr="007F618C">
        <w:t>es attributs qui représente</w:t>
      </w:r>
      <w:r>
        <w:t>nt</w:t>
      </w:r>
      <w:r w:rsidRPr="007F618C">
        <w:t xml:space="preserve"> le concept sont toutes les choses qui composent de la même manière l’ensemble de celui-ci, et qui le différencie des autres</w:t>
      </w:r>
      <w:r>
        <w:t xml:space="preserve">. </w:t>
      </w:r>
      <w:r w:rsidR="001B53CD">
        <w:t>Par exemple</w:t>
      </w:r>
      <w:r w:rsidR="00083CB4">
        <w:t>, une chaise est un élément muni d’une assise, d’un dossier</w:t>
      </w:r>
      <w:r w:rsidR="00FF4E7D">
        <w:t xml:space="preserve"> et </w:t>
      </w:r>
      <w:r w:rsidR="00083CB4">
        <w:t>de pieds. Ce sont donc les attributs de la chaise.</w:t>
      </w:r>
    </w:p>
    <w:p w14:paraId="5032065B" w14:textId="1226431F" w:rsidR="005C751A" w:rsidRDefault="004133C1" w:rsidP="0087057F">
      <w:r>
        <w:t>Si nous prenons un concept abstrait, les attributs</w:t>
      </w:r>
      <w:r w:rsidR="006B0DE1">
        <w:t xml:space="preserve"> et donc ce qui le compose</w:t>
      </w:r>
      <w:r>
        <w:t xml:space="preserve"> seront retrouvés dans les similitudes des définitions</w:t>
      </w:r>
      <w:r w:rsidR="006B0DE1">
        <w:t xml:space="preserve"> recherchées.</w:t>
      </w:r>
      <w:r w:rsidR="007169BD">
        <w:t xml:space="preserve"> Il s’agira de </w:t>
      </w:r>
      <w:r w:rsidR="00CD48CD">
        <w:t>mettre en lumière</w:t>
      </w:r>
      <w:r w:rsidR="007169BD">
        <w:t xml:space="preserve"> </w:t>
      </w:r>
      <w:r w:rsidR="00D438B8">
        <w:t>« </w:t>
      </w:r>
      <w:r w:rsidR="007169BD">
        <w:t>l’universalité</w:t>
      </w:r>
      <w:r w:rsidR="00D438B8">
        <w:t> »</w:t>
      </w:r>
      <w:r w:rsidR="00CD48CD">
        <w:t xml:space="preserve"> qui se manifeste</w:t>
      </w:r>
      <w:r w:rsidR="0081310E">
        <w:t xml:space="preserve"> dans la récurrence des définitions.</w:t>
      </w:r>
      <w:r w:rsidR="00A77868">
        <w:t xml:space="preserve"> </w:t>
      </w:r>
      <w:r w:rsidR="007169BD">
        <w:t xml:space="preserve"> </w:t>
      </w:r>
    </w:p>
    <w:p w14:paraId="27F868AD" w14:textId="77777777" w:rsidR="002B7438" w:rsidRDefault="002B7438" w:rsidP="0087057F"/>
    <w:p w14:paraId="155C4B2D" w14:textId="77777777" w:rsidR="002B7438" w:rsidRDefault="002B7438" w:rsidP="0087057F"/>
    <w:p w14:paraId="18370083" w14:textId="2DA006DD" w:rsidR="005C751A" w:rsidRDefault="005C751A" w:rsidP="0081310E">
      <w:pPr>
        <w:pStyle w:val="Paragraphedeliste"/>
        <w:numPr>
          <w:ilvl w:val="0"/>
          <w:numId w:val="3"/>
        </w:numPr>
        <w:rPr>
          <w:b/>
          <w:bCs/>
        </w:rPr>
      </w:pPr>
      <w:r w:rsidRPr="008E6858">
        <w:rPr>
          <w:b/>
          <w:bCs/>
        </w:rPr>
        <w:t>Le confort</w:t>
      </w:r>
    </w:p>
    <w:p w14:paraId="3BEBDB61" w14:textId="77777777" w:rsidR="008E6858" w:rsidRPr="008E6858" w:rsidRDefault="008E6858" w:rsidP="008E6858">
      <w:pPr>
        <w:pStyle w:val="Paragraphedeliste"/>
        <w:ind w:left="1080"/>
        <w:rPr>
          <w:b/>
          <w:bCs/>
        </w:rPr>
      </w:pPr>
    </w:p>
    <w:p w14:paraId="0A3F06CC" w14:textId="4F6A02F4" w:rsidR="0087057F" w:rsidRPr="002D7E95" w:rsidRDefault="00B37B51" w:rsidP="00B37B51">
      <w:pPr>
        <w:pStyle w:val="Paragraphedeliste"/>
        <w:numPr>
          <w:ilvl w:val="0"/>
          <w:numId w:val="5"/>
        </w:numPr>
        <w:rPr>
          <w:b/>
          <w:bCs/>
        </w:rPr>
      </w:pPr>
      <w:r w:rsidRPr="002D7E95">
        <w:rPr>
          <w:b/>
          <w:bCs/>
        </w:rPr>
        <w:t>Brainstorming</w:t>
      </w:r>
      <w:r w:rsidR="0087057F" w:rsidRPr="002D7E95">
        <w:rPr>
          <w:b/>
          <w:bCs/>
        </w:rPr>
        <w:tab/>
      </w:r>
    </w:p>
    <w:p w14:paraId="14E65AEE" w14:textId="31003929" w:rsidR="006B7C5B" w:rsidRDefault="004B72E8" w:rsidP="0087057F">
      <w:r w:rsidRPr="002D7E95">
        <w:rPr>
          <w:b/>
          <w:bCs/>
          <w:noProof/>
        </w:rPr>
        <w:drawing>
          <wp:anchor distT="0" distB="0" distL="114300" distR="114300" simplePos="0" relativeHeight="251658240" behindDoc="0" locked="0" layoutInCell="1" allowOverlap="1" wp14:anchorId="2754AB60" wp14:editId="709DB0A9">
            <wp:simplePos x="0" y="0"/>
            <wp:positionH relativeFrom="margin">
              <wp:align>right</wp:align>
            </wp:positionH>
            <wp:positionV relativeFrom="paragraph">
              <wp:posOffset>93662</wp:posOffset>
            </wp:positionV>
            <wp:extent cx="5295900" cy="2911403"/>
            <wp:effectExtent l="0" t="0" r="0" b="3810"/>
            <wp:wrapNone/>
            <wp:docPr id="2065129089" name="Image 1" descr="Une image contenant texte, Post-it, écriture manuscrite, Produit en pap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29089" name="Image 1" descr="Une image contenant texte, Post-it, écriture manuscrite, Produit en papier&#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5900" cy="2911403"/>
                    </a:xfrm>
                    <a:prstGeom prst="rect">
                      <a:avLst/>
                    </a:prstGeom>
                  </pic:spPr>
                </pic:pic>
              </a:graphicData>
            </a:graphic>
            <wp14:sizeRelH relativeFrom="page">
              <wp14:pctWidth>0</wp14:pctWidth>
            </wp14:sizeRelH>
            <wp14:sizeRelV relativeFrom="page">
              <wp14:pctHeight>0</wp14:pctHeight>
            </wp14:sizeRelV>
          </wp:anchor>
        </w:drawing>
      </w:r>
    </w:p>
    <w:p w14:paraId="11ECD1E7" w14:textId="77777777" w:rsidR="00435134" w:rsidRDefault="00435134" w:rsidP="0087057F"/>
    <w:p w14:paraId="437F6978" w14:textId="77777777" w:rsidR="0084435E" w:rsidRDefault="0084435E" w:rsidP="0087057F"/>
    <w:p w14:paraId="347C13BA" w14:textId="77777777" w:rsidR="0084435E" w:rsidRDefault="0084435E" w:rsidP="0087057F"/>
    <w:p w14:paraId="7CD33BB9" w14:textId="77777777" w:rsidR="0084435E" w:rsidRDefault="0084435E" w:rsidP="0087057F"/>
    <w:p w14:paraId="7E7B2DD1" w14:textId="77777777" w:rsidR="0084435E" w:rsidRDefault="0084435E" w:rsidP="0087057F"/>
    <w:p w14:paraId="5DE29E5B" w14:textId="77777777" w:rsidR="0084435E" w:rsidRDefault="0084435E" w:rsidP="0087057F"/>
    <w:p w14:paraId="4B2073D6" w14:textId="77777777" w:rsidR="0084435E" w:rsidRDefault="0084435E" w:rsidP="0087057F"/>
    <w:p w14:paraId="1708BC6F" w14:textId="77777777" w:rsidR="004449D8" w:rsidRDefault="004449D8" w:rsidP="0087057F"/>
    <w:p w14:paraId="620FB8C9" w14:textId="77777777" w:rsidR="004B72E8" w:rsidRDefault="004B72E8" w:rsidP="0087057F"/>
    <w:p w14:paraId="164DBE0B" w14:textId="77777777" w:rsidR="008E6858" w:rsidRDefault="008E6858" w:rsidP="0087057F"/>
    <w:p w14:paraId="06787642" w14:textId="77777777" w:rsidR="004B72E8" w:rsidRDefault="004B72E8" w:rsidP="0087057F"/>
    <w:p w14:paraId="5AC02CA7" w14:textId="0DF9D1EC" w:rsidR="00435134" w:rsidRPr="004B72E8" w:rsidRDefault="004449D8" w:rsidP="004B72E8">
      <w:pPr>
        <w:pStyle w:val="Paragraphedeliste"/>
        <w:numPr>
          <w:ilvl w:val="0"/>
          <w:numId w:val="5"/>
        </w:numPr>
        <w:rPr>
          <w:b/>
          <w:bCs/>
        </w:rPr>
      </w:pPr>
      <w:r w:rsidRPr="004B72E8">
        <w:rPr>
          <w:b/>
          <w:bCs/>
        </w:rPr>
        <w:t>Définition du confort</w:t>
      </w:r>
    </w:p>
    <w:p w14:paraId="72A1578F" w14:textId="07E5B210" w:rsidR="0087057F" w:rsidRDefault="0087057F" w:rsidP="0087057F">
      <w:r>
        <w:t>« La notion de confort porte sur un ensemble de conditions qui contribuent à une aise matérielle ( vivre dans le confort). Elle concerne également un état d’esprit, une sensation de bien-être, une tranquillité sur le plan physique et psychique, ce qui peut être renforcé par une aide extérieure. »</w:t>
      </w:r>
      <w:r>
        <w:rPr>
          <w:rStyle w:val="Appelnotedebasdep"/>
        </w:rPr>
        <w:footnoteReference w:id="6"/>
      </w:r>
    </w:p>
    <w:p w14:paraId="32A8FB5E" w14:textId="26E43B91" w:rsidR="0087057F" w:rsidRDefault="0087057F" w:rsidP="0087057F">
      <w:r>
        <w:t>« le confort est « un état agréable de bien-être, d’aisance et d’harmonie physique, physiologique et psychologique entre une personne et l’environnement » ».</w:t>
      </w:r>
      <w:r>
        <w:rPr>
          <w:rStyle w:val="Appelnotedebasdep"/>
        </w:rPr>
        <w:footnoteReference w:id="7"/>
      </w:r>
      <w:r>
        <w:t xml:space="preserve"> </w:t>
      </w:r>
    </w:p>
    <w:p w14:paraId="17C006B7" w14:textId="0646D7D6" w:rsidR="0087057F" w:rsidRDefault="0087057F" w:rsidP="0087057F">
      <w:r>
        <w:t>« Ensemble des commodités matérielles qui procurent le bien-être. »</w:t>
      </w:r>
      <w:r>
        <w:rPr>
          <w:rStyle w:val="Appelnotedebasdep"/>
        </w:rPr>
        <w:footnoteReference w:id="8"/>
      </w:r>
      <w:r>
        <w:t xml:space="preserve">  </w:t>
      </w:r>
    </w:p>
    <w:p w14:paraId="3CCE4B7C" w14:textId="77777777" w:rsidR="0087057F" w:rsidRDefault="0087057F" w:rsidP="0087057F">
      <w:r>
        <w:t xml:space="preserve">D’après les définitions ci-dessus, le confort représente un état de bien-être qui peut résulter de notre harmonie avec l’environnement ou bien de la disposition de notre état d’esprit. Cet état de confort peut être aidé par des éléments matériels. </w:t>
      </w:r>
    </w:p>
    <w:p w14:paraId="5132A5F1" w14:textId="6480C657" w:rsidR="0087057F" w:rsidRDefault="0087057F" w:rsidP="0087057F">
      <w:r>
        <w:t>Dans les différents type</w:t>
      </w:r>
      <w:r w:rsidR="002D7E95">
        <w:t>s</w:t>
      </w:r>
      <w:r>
        <w:t xml:space="preserve"> de confort, nous pouvons citer :</w:t>
      </w:r>
    </w:p>
    <w:p w14:paraId="1F14FCD9" w14:textId="77777777" w:rsidR="0087057F" w:rsidRDefault="0087057F" w:rsidP="0087057F">
      <w:r>
        <w:t>•</w:t>
      </w:r>
      <w:r>
        <w:tab/>
        <w:t>Le confort physique qui est un état de bien-être du corps extérieur donc de l’enveloppe corporelle qui peut être notamment lié à la position du corps.</w:t>
      </w:r>
    </w:p>
    <w:p w14:paraId="0334D2B3" w14:textId="77777777" w:rsidR="0087057F" w:rsidRDefault="0087057F" w:rsidP="0087057F">
      <w:r>
        <w:lastRenderedPageBreak/>
        <w:t>•</w:t>
      </w:r>
      <w:r>
        <w:tab/>
        <w:t>Le confort physiologique qui est plus de l’ordre du bien-être interne au corps et qui sera aidé par les conditions extérieures comme la température de l’environnement, le bruit etc…</w:t>
      </w:r>
    </w:p>
    <w:p w14:paraId="1C83C38B" w14:textId="7698B3D1" w:rsidR="0087057F" w:rsidRDefault="0087057F" w:rsidP="0087057F">
      <w:r>
        <w:t>•</w:t>
      </w:r>
      <w:r>
        <w:tab/>
        <w:t xml:space="preserve"> Le confort psychologique qui « se définit comme un état de sérénité mentale, un équilibre émotionnel où l’individu ne ressent ni anxiété, ni stress excessif. »</w:t>
      </w:r>
      <w:r>
        <w:rPr>
          <w:rStyle w:val="Appelnotedebasdep"/>
        </w:rPr>
        <w:footnoteReference w:id="9"/>
      </w:r>
      <w:r>
        <w:t xml:space="preserve"> </w:t>
      </w:r>
    </w:p>
    <w:p w14:paraId="58EE4437" w14:textId="2E51C029" w:rsidR="00106763" w:rsidRDefault="00106763" w:rsidP="00AA3BC4">
      <w:r>
        <w:t xml:space="preserve">Le code de la santé publique parle du rôle infirmier </w:t>
      </w:r>
      <w:r w:rsidR="00C252D3">
        <w:t xml:space="preserve">avec cette notion de </w:t>
      </w:r>
      <w:r>
        <w:t>confort :</w:t>
      </w:r>
    </w:p>
    <w:p w14:paraId="1F6D58F7" w14:textId="5908736A" w:rsidR="00106763" w:rsidRDefault="00106763" w:rsidP="00106763">
      <w:r>
        <w:t>« Article R4311-5</w:t>
      </w:r>
    </w:p>
    <w:p w14:paraId="40FACFE0" w14:textId="77777777" w:rsidR="00106763" w:rsidRDefault="00106763" w:rsidP="00106763">
      <w:r>
        <w:t>Modifié par Décret n°2021-980 du 23 juillet 2021 - art. 1</w:t>
      </w:r>
    </w:p>
    <w:p w14:paraId="2D136919" w14:textId="5F203FB7" w:rsidR="00C65010" w:rsidRDefault="00106763" w:rsidP="00106763">
      <w:r>
        <w:t>Dans le cadre de son rôle propre, l'infirmier ou l'infirmière accomplit les actes ou dispense les soins</w:t>
      </w:r>
      <w:r w:rsidR="00277091">
        <w:t>…</w:t>
      </w:r>
      <w:r>
        <w:t xml:space="preserve"> visant à identifier les risques et à assurer le confort et la sécurité de la personne et de son environnement</w:t>
      </w:r>
      <w:r w:rsidR="00B955B9">
        <w:t>… ».</w:t>
      </w:r>
      <w:r w:rsidR="00F95E04">
        <w:rPr>
          <w:rStyle w:val="Appelnotedebasdep"/>
        </w:rPr>
        <w:footnoteReference w:id="10"/>
      </w:r>
    </w:p>
    <w:p w14:paraId="247C5DE5" w14:textId="1AFC4CF7" w:rsidR="00EA32E7" w:rsidRDefault="00EA32E7" w:rsidP="00106763">
      <w:r w:rsidRPr="00A6545C">
        <w:t>D’après nos recherches</w:t>
      </w:r>
      <w:r w:rsidR="0044724D" w:rsidRPr="00A6545C">
        <w:t xml:space="preserve">, </w:t>
      </w:r>
      <w:r w:rsidR="00453BE2" w:rsidRPr="00A6545C">
        <w:t>les attributs d</w:t>
      </w:r>
      <w:r w:rsidR="00751966" w:rsidRPr="00A6545C">
        <w:t>e ce concept</w:t>
      </w:r>
      <w:r w:rsidR="00453BE2" w:rsidRPr="00A6545C">
        <w:t xml:space="preserve"> varient </w:t>
      </w:r>
      <w:r w:rsidR="0015115B" w:rsidRPr="00A6545C">
        <w:t xml:space="preserve">en fonction du type de confort dont nous parlons. </w:t>
      </w:r>
      <w:r w:rsidR="00356C99" w:rsidRPr="00A6545C">
        <w:t>Mais dans tous les cas ils se rapp</w:t>
      </w:r>
      <w:r w:rsidR="00BE4A4B" w:rsidRPr="00A6545C">
        <w:t>ortent à un sentiment de bien-être, de sécurité</w:t>
      </w:r>
      <w:r w:rsidR="00DB7BC3" w:rsidRPr="00A6545C">
        <w:t xml:space="preserve"> mais aussi à l’absence de douleur</w:t>
      </w:r>
      <w:r w:rsidR="009E2610">
        <w:t xml:space="preserve"> et</w:t>
      </w:r>
      <w:r w:rsidR="00DB7BC3" w:rsidRPr="00A6545C">
        <w:t xml:space="preserve"> </w:t>
      </w:r>
      <w:r w:rsidR="00AD7467" w:rsidRPr="00A6545C">
        <w:t>à la prise en compte</w:t>
      </w:r>
      <w:r w:rsidR="00F520C0">
        <w:t>,</w:t>
      </w:r>
      <w:r w:rsidR="00AD7467" w:rsidRPr="00A6545C">
        <w:t xml:space="preserve"> à l’adaptation </w:t>
      </w:r>
      <w:r w:rsidR="008E4122" w:rsidRPr="00A6545C">
        <w:t>des</w:t>
      </w:r>
      <w:r w:rsidR="00BA1AD8" w:rsidRPr="00A6545C">
        <w:t xml:space="preserve"> divers</w:t>
      </w:r>
      <w:r w:rsidR="00AD7467" w:rsidRPr="00A6545C">
        <w:t xml:space="preserve"> besoins de la personne.</w:t>
      </w:r>
    </w:p>
    <w:p w14:paraId="46AA7EC8" w14:textId="77777777" w:rsidR="00A6545C" w:rsidRDefault="00A6545C" w:rsidP="00106763"/>
    <w:p w14:paraId="08968E1F" w14:textId="3B45F184" w:rsidR="002D0E69" w:rsidRPr="002D7E95" w:rsidRDefault="00021E3F">
      <w:pPr>
        <w:rPr>
          <w:b/>
          <w:bCs/>
        </w:rPr>
      </w:pPr>
      <w:r w:rsidRPr="002D7E95">
        <w:rPr>
          <w:b/>
          <w:bCs/>
        </w:rPr>
        <w:t>3. Bibliographie </w:t>
      </w:r>
    </w:p>
    <w:p w14:paraId="2D563827" w14:textId="4E468329" w:rsidR="002B3E5B" w:rsidRDefault="00D3686A" w:rsidP="002B3E5B">
      <w:pPr>
        <w:pStyle w:val="Paragraphedeliste"/>
        <w:numPr>
          <w:ilvl w:val="0"/>
          <w:numId w:val="6"/>
        </w:numPr>
      </w:pPr>
      <w:r>
        <w:t>admin. Comprendre le Confort Humain [Internet]. la sujets. 2024 [cité 15 sept 2025]. Disponible sur: https://lasujets.com/comprendre-le-confort-humain/</w:t>
      </w:r>
    </w:p>
    <w:p w14:paraId="64D35F19" w14:textId="6581BBA7" w:rsidR="00D3686A" w:rsidRDefault="00D3686A" w:rsidP="00C65010">
      <w:pPr>
        <w:pStyle w:val="Paragraphedeliste"/>
        <w:numPr>
          <w:ilvl w:val="0"/>
          <w:numId w:val="6"/>
        </w:numPr>
      </w:pPr>
      <w:r>
        <w:t>Astolfi JP, Darot É, Ginsburger-Vogel Y, Toussaint J. Chapitre 2. Concept, conceptualisation. Pratiques pédagogiques. 2008;2:23</w:t>
      </w:r>
      <w:r w:rsidRPr="00C65010">
        <w:rPr>
          <w:rFonts w:ascii="Cambria Math" w:hAnsi="Cambria Math" w:cs="Cambria Math"/>
        </w:rPr>
        <w:t>‑</w:t>
      </w:r>
      <w:r>
        <w:t xml:space="preserve">33. </w:t>
      </w:r>
    </w:p>
    <w:p w14:paraId="36D0F7A6" w14:textId="1C29A1EA" w:rsidR="009477E7" w:rsidRDefault="00D3686A" w:rsidP="009477E7">
      <w:pPr>
        <w:pStyle w:val="Paragraphedeliste"/>
        <w:numPr>
          <w:ilvl w:val="0"/>
          <w:numId w:val="6"/>
        </w:numPr>
      </w:pPr>
      <w:r>
        <w:t>Française A. érudition | Dictionnaire de l’Académie française | 9e édition [Internet]. [cité 15 sept 2025]. Disponible sur: http://www.dictionnaire-academie.fr/article/A9E2521</w:t>
      </w:r>
    </w:p>
    <w:p w14:paraId="000AF0F6" w14:textId="37021AD6" w:rsidR="00D3686A" w:rsidRDefault="00D3686A" w:rsidP="00C65010">
      <w:pPr>
        <w:pStyle w:val="Paragraphedeliste"/>
        <w:numPr>
          <w:ilvl w:val="0"/>
          <w:numId w:val="6"/>
        </w:numPr>
      </w:pPr>
      <w:r>
        <w:t>Frécon G. Chapitre 1. Savoir définir et quantifier un concept. Méthod’o. 2012;2:5</w:t>
      </w:r>
      <w:r w:rsidRPr="00C65010">
        <w:rPr>
          <w:rFonts w:ascii="Cambria Math" w:hAnsi="Cambria Math" w:cs="Cambria Math"/>
        </w:rPr>
        <w:t>‑</w:t>
      </w:r>
      <w:r>
        <w:t xml:space="preserve">10. </w:t>
      </w:r>
    </w:p>
    <w:p w14:paraId="2ED0C00B" w14:textId="35894D16" w:rsidR="00F372B8" w:rsidRDefault="00D3686A" w:rsidP="00F372B8">
      <w:pPr>
        <w:pStyle w:val="Paragraphedeliste"/>
        <w:numPr>
          <w:ilvl w:val="0"/>
          <w:numId w:val="6"/>
        </w:numPr>
      </w:pPr>
      <w:r>
        <w:t>Robert JM. Confort. In: Ergonomie</w:t>
      </w:r>
      <w:r w:rsidRPr="00C65010">
        <w:rPr>
          <w:rFonts w:ascii="Arial" w:hAnsi="Arial" w:cs="Arial"/>
        </w:rPr>
        <w:t> </w:t>
      </w:r>
      <w:r>
        <w:t>: 150 notions cl</w:t>
      </w:r>
      <w:r w:rsidRPr="00C65010">
        <w:rPr>
          <w:rFonts w:ascii="Aptos" w:hAnsi="Aptos" w:cs="Aptos"/>
        </w:rPr>
        <w:t>é</w:t>
      </w:r>
      <w:r>
        <w:t>s [Internet]. Dunod; 2021 [cit</w:t>
      </w:r>
      <w:r w:rsidRPr="00C65010">
        <w:rPr>
          <w:rFonts w:ascii="Aptos" w:hAnsi="Aptos" w:cs="Aptos"/>
        </w:rPr>
        <w:t>é</w:t>
      </w:r>
      <w:r>
        <w:t xml:space="preserve"> 15 sept 2025]. p. 193</w:t>
      </w:r>
      <w:r w:rsidRPr="00C65010">
        <w:rPr>
          <w:rFonts w:ascii="Cambria Math" w:hAnsi="Cambria Math" w:cs="Cambria Math"/>
        </w:rPr>
        <w:t>‑</w:t>
      </w:r>
      <w:r>
        <w:t xml:space="preserve">6. Disponible sur: </w:t>
      </w:r>
      <w:hyperlink r:id="rId9" w:history="1">
        <w:r w:rsidR="00F372B8" w:rsidRPr="00065020">
          <w:rPr>
            <w:rStyle w:val="Lienhypertexte"/>
          </w:rPr>
          <w:t>https://shs.cairn.info/ergonomie-150-notions-cles--9782100822126-page-193</w:t>
        </w:r>
      </w:hyperlink>
    </w:p>
    <w:p w14:paraId="1D156CC9" w14:textId="10C43BC0" w:rsidR="00D3686A" w:rsidRDefault="00D3686A" w:rsidP="00C65010">
      <w:pPr>
        <w:pStyle w:val="Paragraphedeliste"/>
        <w:numPr>
          <w:ilvl w:val="0"/>
          <w:numId w:val="6"/>
        </w:numPr>
      </w:pPr>
      <w:r>
        <w:t>CONFORT</w:t>
      </w:r>
      <w:r w:rsidRPr="00C65010">
        <w:rPr>
          <w:rFonts w:ascii="Arial" w:hAnsi="Arial" w:cs="Arial"/>
        </w:rPr>
        <w:t> </w:t>
      </w:r>
      <w:r>
        <w:t>: D</w:t>
      </w:r>
      <w:r w:rsidRPr="00C65010">
        <w:rPr>
          <w:rFonts w:ascii="Aptos" w:hAnsi="Aptos" w:cs="Aptos"/>
        </w:rPr>
        <w:t>é</w:t>
      </w:r>
      <w:r>
        <w:t>finition de CONFORT [Internet]. [cit</w:t>
      </w:r>
      <w:r w:rsidRPr="00C65010">
        <w:rPr>
          <w:rFonts w:ascii="Aptos" w:hAnsi="Aptos" w:cs="Aptos"/>
        </w:rPr>
        <w:t>é</w:t>
      </w:r>
      <w:r>
        <w:t xml:space="preserve"> 15 sept 2025]. Disponible sur: </w:t>
      </w:r>
      <w:hyperlink r:id="rId10" w:history="1">
        <w:r w:rsidRPr="00FA0EFD">
          <w:rPr>
            <w:rStyle w:val="Lienhypertexte"/>
          </w:rPr>
          <w:t>https://www.cnrtl.fr/definition/confort/1</w:t>
        </w:r>
      </w:hyperlink>
    </w:p>
    <w:p w14:paraId="4DB8362A" w14:textId="27DE470C" w:rsidR="00D3686A" w:rsidRDefault="00D3686A" w:rsidP="00C65010">
      <w:pPr>
        <w:pStyle w:val="Paragraphedeliste"/>
        <w:numPr>
          <w:ilvl w:val="0"/>
          <w:numId w:val="6"/>
        </w:numPr>
      </w:pPr>
      <w:r>
        <w:t>Titre Ier</w:t>
      </w:r>
      <w:r w:rsidRPr="00C65010">
        <w:rPr>
          <w:rFonts w:ascii="Arial" w:hAnsi="Arial" w:cs="Arial"/>
        </w:rPr>
        <w:t> </w:t>
      </w:r>
      <w:r>
        <w:t>: Profession d</w:t>
      </w:r>
      <w:r w:rsidRPr="00C65010">
        <w:rPr>
          <w:rFonts w:ascii="Aptos" w:hAnsi="Aptos" w:cs="Aptos"/>
        </w:rPr>
        <w:t>’</w:t>
      </w:r>
      <w:r>
        <w:t>infirmier ou d</w:t>
      </w:r>
      <w:r w:rsidRPr="00C65010">
        <w:rPr>
          <w:rFonts w:ascii="Aptos" w:hAnsi="Aptos" w:cs="Aptos"/>
        </w:rPr>
        <w:t>’</w:t>
      </w:r>
      <w:r>
        <w:t>infirmi</w:t>
      </w:r>
      <w:r w:rsidRPr="00C65010">
        <w:rPr>
          <w:rFonts w:ascii="Aptos" w:hAnsi="Aptos" w:cs="Aptos"/>
        </w:rPr>
        <w:t>è</w:t>
      </w:r>
      <w:r>
        <w:t xml:space="preserve">re (Articles R4311-1 </w:t>
      </w:r>
      <w:r w:rsidRPr="00C65010">
        <w:rPr>
          <w:rFonts w:ascii="Aptos" w:hAnsi="Aptos" w:cs="Aptos"/>
        </w:rPr>
        <w:t>à</w:t>
      </w:r>
      <w:r>
        <w:t xml:space="preserve"> R4312-92) - L</w:t>
      </w:r>
      <w:r w:rsidRPr="00C65010">
        <w:rPr>
          <w:rFonts w:ascii="Aptos" w:hAnsi="Aptos" w:cs="Aptos"/>
        </w:rPr>
        <w:t>é</w:t>
      </w:r>
      <w:r>
        <w:t>gifrance [Internet]. [cit</w:t>
      </w:r>
      <w:r w:rsidRPr="00C65010">
        <w:rPr>
          <w:rFonts w:ascii="Aptos" w:hAnsi="Aptos" w:cs="Aptos"/>
        </w:rPr>
        <w:t>é</w:t>
      </w:r>
      <w:r>
        <w:t xml:space="preserve"> 16 sept 2025]. Disponible sur: </w:t>
      </w:r>
      <w:hyperlink r:id="rId11" w:history="1">
        <w:r w:rsidR="00F372B8" w:rsidRPr="00065020">
          <w:rPr>
            <w:rStyle w:val="Lienhypertexte"/>
          </w:rPr>
          <w:t>https://www.legifrance.gouv.fr/codes/id/LEGISCTA000006161001/</w:t>
        </w:r>
      </w:hyperlink>
    </w:p>
    <w:p w14:paraId="2493112D" w14:textId="7DBE70C9" w:rsidR="00F372B8" w:rsidRDefault="00F372B8" w:rsidP="00C65010">
      <w:pPr>
        <w:pStyle w:val="Paragraphedeliste"/>
        <w:numPr>
          <w:ilvl w:val="0"/>
          <w:numId w:val="6"/>
        </w:numPr>
      </w:pPr>
      <w:r w:rsidRPr="00F372B8">
        <w:t>Définitions</w:t>
      </w:r>
      <w:r w:rsidRPr="00F372B8">
        <w:rPr>
          <w:rFonts w:ascii="Arial" w:hAnsi="Arial" w:cs="Arial"/>
        </w:rPr>
        <w:t> </w:t>
      </w:r>
      <w:r w:rsidRPr="00F372B8">
        <w:t>: attribut, attributs - Dictionnaire de fran</w:t>
      </w:r>
      <w:r w:rsidRPr="00F372B8">
        <w:rPr>
          <w:rFonts w:ascii="Aptos" w:hAnsi="Aptos" w:cs="Aptos"/>
        </w:rPr>
        <w:t>ç</w:t>
      </w:r>
      <w:r w:rsidRPr="00F372B8">
        <w:t>ais Larousse [Internet]. [cit</w:t>
      </w:r>
      <w:r w:rsidRPr="00F372B8">
        <w:rPr>
          <w:rFonts w:ascii="Aptos" w:hAnsi="Aptos" w:cs="Aptos"/>
        </w:rPr>
        <w:t>é</w:t>
      </w:r>
      <w:r w:rsidRPr="00F372B8">
        <w:t xml:space="preserve"> 17 sept 2025]. Disponible sur: </w:t>
      </w:r>
      <w:hyperlink r:id="rId12" w:history="1">
        <w:r w:rsidRPr="00065020">
          <w:rPr>
            <w:rStyle w:val="Lienhypertexte"/>
          </w:rPr>
          <w:t>https://www.larousse.fr/dictionnaires/francais/attribut/6321</w:t>
        </w:r>
      </w:hyperlink>
    </w:p>
    <w:p w14:paraId="52E8B6A4" w14:textId="4F9EFCA7" w:rsidR="004B72E8" w:rsidRDefault="004B72E8" w:rsidP="00C65010">
      <w:pPr>
        <w:pStyle w:val="Paragraphedeliste"/>
        <w:numPr>
          <w:ilvl w:val="0"/>
          <w:numId w:val="6"/>
        </w:numPr>
      </w:pPr>
      <w:r w:rsidRPr="004B72E8">
        <w:t>Clauzard P. L’exercice de la pensée avec le journal des apprentissages, en faveur de la secondarisation des élèves. Éducation et didactique. 30 juin 2021;15(15</w:t>
      </w:r>
      <w:r w:rsidRPr="004B72E8">
        <w:rPr>
          <w:rFonts w:ascii="Cambria Math" w:hAnsi="Cambria Math" w:cs="Cambria Math"/>
        </w:rPr>
        <w:t>‑</w:t>
      </w:r>
      <w:r w:rsidRPr="004B72E8">
        <w:t>2):27</w:t>
      </w:r>
      <w:r w:rsidRPr="004B72E8">
        <w:rPr>
          <w:rFonts w:ascii="Cambria Math" w:hAnsi="Cambria Math" w:cs="Cambria Math"/>
        </w:rPr>
        <w:t>‑</w:t>
      </w:r>
      <w:r w:rsidRPr="004B72E8">
        <w:t>45.</w:t>
      </w:r>
    </w:p>
    <w:p w14:paraId="545CA117" w14:textId="77777777" w:rsidR="00626650" w:rsidRDefault="00626650" w:rsidP="00021E3F">
      <w:pPr>
        <w:rPr>
          <w:b/>
          <w:bCs/>
        </w:rPr>
      </w:pPr>
    </w:p>
    <w:p w14:paraId="141EAFF6" w14:textId="77777777" w:rsidR="00A6545C" w:rsidRDefault="00A6545C" w:rsidP="00021E3F">
      <w:pPr>
        <w:rPr>
          <w:b/>
          <w:bCs/>
        </w:rPr>
      </w:pPr>
    </w:p>
    <w:p w14:paraId="5CBEDCCB" w14:textId="77777777" w:rsidR="00A6545C" w:rsidRPr="00882308" w:rsidRDefault="00A6545C" w:rsidP="00021E3F">
      <w:pPr>
        <w:rPr>
          <w:b/>
          <w:bCs/>
        </w:rPr>
      </w:pPr>
    </w:p>
    <w:p w14:paraId="74E24315" w14:textId="54C7BDB9" w:rsidR="006B01B7" w:rsidRPr="00882308" w:rsidRDefault="00056E2F" w:rsidP="00021E3F">
      <w:pPr>
        <w:rPr>
          <w:b/>
          <w:bCs/>
        </w:rPr>
      </w:pPr>
      <w:r w:rsidRPr="00882308">
        <w:rPr>
          <w:b/>
          <w:bCs/>
        </w:rPr>
        <w:lastRenderedPageBreak/>
        <w:t>III. Exemples</w:t>
      </w:r>
    </w:p>
    <w:p w14:paraId="3A674B12" w14:textId="276915BE" w:rsidR="00E75F0D" w:rsidRDefault="003B2109" w:rsidP="00021E3F">
      <w:r>
        <w:t>Le confort</w:t>
      </w:r>
      <w:r w:rsidR="00E75F0D">
        <w:t xml:space="preserve"> est une notion importante dans le rôle infirmier. </w:t>
      </w:r>
    </w:p>
    <w:p w14:paraId="1D291BFE" w14:textId="3F7D1EC8" w:rsidR="00DD734A" w:rsidRDefault="00E75F0D" w:rsidP="00021E3F">
      <w:r>
        <w:t>Il</w:t>
      </w:r>
      <w:r w:rsidR="003B2109">
        <w:t xml:space="preserve"> passe par la prévention</w:t>
      </w:r>
      <w:r w:rsidR="0022289E">
        <w:t>. N</w:t>
      </w:r>
      <w:r w:rsidR="000C57AD">
        <w:t xml:space="preserve">ous pouvons citer la prévention des </w:t>
      </w:r>
      <w:r w:rsidR="00341615">
        <w:t>escarres qui est dans le rôle propre de l’infirmier</w:t>
      </w:r>
      <w:r w:rsidR="004B0EC7">
        <w:t xml:space="preserve">. Il implique la mise en place de dispositifs de préventions </w:t>
      </w:r>
      <w:r w:rsidR="008C4EE8">
        <w:t xml:space="preserve">comme des coussins ou matelas anti-escarres, la surveillance des facteurs </w:t>
      </w:r>
      <w:r w:rsidR="00AF57A8">
        <w:t>qui les favorisent</w:t>
      </w:r>
      <w:r w:rsidR="008C4EE8">
        <w:t xml:space="preserve"> tels que la dénutrition, le diabète.</w:t>
      </w:r>
    </w:p>
    <w:p w14:paraId="65413785" w14:textId="2FA13C70" w:rsidR="00830E09" w:rsidRDefault="00830E09" w:rsidP="00021E3F">
      <w:r w:rsidRPr="00830E09">
        <w:t xml:space="preserve">Plus largement pour tout individu, le confort passe </w:t>
      </w:r>
      <w:r w:rsidR="00DF4630">
        <w:t>aussi</w:t>
      </w:r>
      <w:r w:rsidRPr="00830E09">
        <w:t xml:space="preserve"> par l’ergonomie, le fait d’acquérir de bonnes postures pour tou</w:t>
      </w:r>
      <w:r w:rsidR="008B2A82">
        <w:t>s les</w:t>
      </w:r>
      <w:r w:rsidRPr="00830E09">
        <w:t xml:space="preserve"> geste</w:t>
      </w:r>
      <w:r w:rsidR="008B2A82">
        <w:t>s</w:t>
      </w:r>
      <w:r w:rsidRPr="00830E09">
        <w:t xml:space="preserve"> quotidiens dans le milieu personnel et professionnel, afin d’éviter de se blesser ou</w:t>
      </w:r>
      <w:r w:rsidR="00DF4630">
        <w:t xml:space="preserve"> de</w:t>
      </w:r>
      <w:r w:rsidRPr="00830E09">
        <w:t xml:space="preserve"> blesser les autres.</w:t>
      </w:r>
    </w:p>
    <w:p w14:paraId="7D90B25F" w14:textId="42FDA9BB" w:rsidR="00830E09" w:rsidRDefault="00E75F0D" w:rsidP="00021E3F">
      <w:r>
        <w:t xml:space="preserve">Il passe </w:t>
      </w:r>
      <w:r w:rsidR="00EC02D8">
        <w:t>également par les soins d’hygiène</w:t>
      </w:r>
      <w:r w:rsidR="00F82C06">
        <w:t xml:space="preserve"> qui </w:t>
      </w:r>
      <w:r w:rsidR="00AA14E5">
        <w:t xml:space="preserve">aident à la sensation de bien-être et donc de confort. Le respect de l’intimité et de la pudeur et de l’autonomie </w:t>
      </w:r>
      <w:r w:rsidR="00713D83">
        <w:t xml:space="preserve">sont essentiels </w:t>
      </w:r>
      <w:r w:rsidR="003726CA">
        <w:t>à</w:t>
      </w:r>
      <w:r w:rsidR="00FD3A1F">
        <w:t xml:space="preserve"> </w:t>
      </w:r>
      <w:r w:rsidR="00AC5454">
        <w:t>c</w:t>
      </w:r>
      <w:r w:rsidR="00FD3A1F">
        <w:t>es soins</w:t>
      </w:r>
      <w:r w:rsidR="00CF5DD7">
        <w:t xml:space="preserve">. </w:t>
      </w:r>
    </w:p>
    <w:p w14:paraId="1E3F520E" w14:textId="38D42335" w:rsidR="003726CA" w:rsidRDefault="00A61D24" w:rsidP="00021E3F">
      <w:r>
        <w:t xml:space="preserve">Les soins palliatifs sont </w:t>
      </w:r>
      <w:r w:rsidR="00E635CB">
        <w:t>de même</w:t>
      </w:r>
      <w:r>
        <w:t xml:space="preserve"> très important</w:t>
      </w:r>
      <w:r w:rsidR="00AC5454">
        <w:t>s</w:t>
      </w:r>
      <w:r>
        <w:t xml:space="preserve"> dans la notion de confort</w:t>
      </w:r>
      <w:r w:rsidR="00B000AC">
        <w:t xml:space="preserve">, car il s’agit d’accompagner le patient en fin de vie </w:t>
      </w:r>
      <w:r w:rsidR="00A713C4">
        <w:t xml:space="preserve">de la manière la plus confortable possible. </w:t>
      </w:r>
      <w:r w:rsidR="007D2DF6">
        <w:t xml:space="preserve">Cela </w:t>
      </w:r>
      <w:r w:rsidR="0041727F">
        <w:t xml:space="preserve">se fait par </w:t>
      </w:r>
      <w:r w:rsidR="007D2DF6">
        <w:t>l’écoute, la prise en compte de</w:t>
      </w:r>
      <w:r w:rsidR="00A522A3">
        <w:t xml:space="preserve"> ses</w:t>
      </w:r>
      <w:r w:rsidR="007D2DF6">
        <w:t xml:space="preserve"> envies et</w:t>
      </w:r>
      <w:r w:rsidR="0041727F">
        <w:t xml:space="preserve"> de ses</w:t>
      </w:r>
      <w:r w:rsidR="007D2DF6">
        <w:t xml:space="preserve"> besoins</w:t>
      </w:r>
      <w:r w:rsidR="00A522A3">
        <w:t xml:space="preserve"> et d’une</w:t>
      </w:r>
      <w:r w:rsidR="007D2DF6">
        <w:t xml:space="preserve"> </w:t>
      </w:r>
      <w:r w:rsidR="00A522A3">
        <w:t>i</w:t>
      </w:r>
      <w:r w:rsidR="007D2DF6">
        <w:t>nstallation dans une position antalgique</w:t>
      </w:r>
      <w:r w:rsidR="0041727F">
        <w:t>.</w:t>
      </w:r>
      <w:r w:rsidR="005131A3">
        <w:t xml:space="preserve"> </w:t>
      </w:r>
      <w:r w:rsidR="0041727F">
        <w:t>De</w:t>
      </w:r>
      <w:r w:rsidR="005131A3">
        <w:t xml:space="preserve"> plus, </w:t>
      </w:r>
      <w:r w:rsidR="00E52DB4">
        <w:t>lors d’une fin de vie, les soins d’</w:t>
      </w:r>
      <w:r w:rsidR="005131A3">
        <w:t>hygiène</w:t>
      </w:r>
      <w:r w:rsidR="00E52DB4">
        <w:t xml:space="preserve"> peuvent être</w:t>
      </w:r>
      <w:r w:rsidR="007529B5">
        <w:t xml:space="preserve"> plus</w:t>
      </w:r>
      <w:r w:rsidR="005131A3">
        <w:t xml:space="preserve"> minimalis</w:t>
      </w:r>
      <w:r w:rsidR="00AC5454">
        <w:t>tes</w:t>
      </w:r>
      <w:r w:rsidR="005131A3">
        <w:t xml:space="preserve"> </w:t>
      </w:r>
      <w:r w:rsidR="009442E2">
        <w:t xml:space="preserve">en cas de douleur. </w:t>
      </w:r>
    </w:p>
    <w:p w14:paraId="254592FB" w14:textId="25DFFC94" w:rsidR="00F060D7" w:rsidRDefault="00A66856" w:rsidP="00021E3F">
      <w:r>
        <w:t>L’i</w:t>
      </w:r>
      <w:r w:rsidR="00923E7C">
        <w:t xml:space="preserve">nfirmier veille au confort du patient </w:t>
      </w:r>
      <w:r w:rsidR="00756319">
        <w:t xml:space="preserve">par son installation, </w:t>
      </w:r>
      <w:r w:rsidR="002242F6">
        <w:t>par la gestion de la douleur qui peut passer par</w:t>
      </w:r>
      <w:r w:rsidR="001079D0">
        <w:t xml:space="preserve"> des fiches d’évaluation de la </w:t>
      </w:r>
      <w:r w:rsidR="00F060D7">
        <w:t xml:space="preserve">douleur, le soutien </w:t>
      </w:r>
      <w:r>
        <w:t>psychologique</w:t>
      </w:r>
      <w:r w:rsidR="00F060D7">
        <w:t>,</w:t>
      </w:r>
      <w:r w:rsidR="002242F6">
        <w:t xml:space="preserve"> </w:t>
      </w:r>
      <w:r w:rsidR="00756319">
        <w:t>le respect de ses droits, de ses convictions</w:t>
      </w:r>
      <w:r>
        <w:t xml:space="preserve"> et</w:t>
      </w:r>
      <w:r w:rsidR="00A25103">
        <w:t xml:space="preserve"> de ce qu’il est en globalité.</w:t>
      </w:r>
    </w:p>
    <w:p w14:paraId="23300BF7" w14:textId="12DDA4DC" w:rsidR="00B1759D" w:rsidRDefault="001D52A3" w:rsidP="00021E3F">
      <w:r>
        <w:t>En conclusion, i</w:t>
      </w:r>
      <w:r w:rsidR="00A66856">
        <w:t>l ne faut pas oublier que le confort est un concept qui varie en fonction des personnes. Le confort d’un</w:t>
      </w:r>
      <w:r w:rsidR="00A21184">
        <w:t xml:space="preserve"> individu</w:t>
      </w:r>
      <w:r w:rsidR="00A66856">
        <w:t xml:space="preserve"> ne sera pas le même que celui d’un autre.</w:t>
      </w:r>
      <w:r w:rsidR="00B1759D">
        <w:t xml:space="preserve"> La sensation de bien</w:t>
      </w:r>
      <w:r w:rsidR="009D6172">
        <w:t>-être</w:t>
      </w:r>
      <w:r w:rsidR="0014660D">
        <w:t xml:space="preserve"> fait partie de </w:t>
      </w:r>
      <w:r w:rsidR="009D6172">
        <w:t>ce qui compose le confort mais il n’est pas atteint de la même façon par chaque personne.</w:t>
      </w:r>
    </w:p>
    <w:p w14:paraId="1FC67A6D" w14:textId="77777777" w:rsidR="00A25103" w:rsidRDefault="00A25103" w:rsidP="00021E3F"/>
    <w:p w14:paraId="30D90537" w14:textId="77777777" w:rsidR="00F16E62" w:rsidRDefault="00F16E62" w:rsidP="00021E3F"/>
    <w:sectPr w:rsidR="00F16E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4841" w14:textId="77777777" w:rsidR="00576538" w:rsidRDefault="00576538" w:rsidP="0087057F">
      <w:pPr>
        <w:spacing w:after="0" w:line="240" w:lineRule="auto"/>
      </w:pPr>
      <w:r>
        <w:separator/>
      </w:r>
    </w:p>
  </w:endnote>
  <w:endnote w:type="continuationSeparator" w:id="0">
    <w:p w14:paraId="4A0BAEB9" w14:textId="77777777" w:rsidR="00576538" w:rsidRDefault="00576538" w:rsidP="0087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672C" w14:textId="77777777" w:rsidR="00576538" w:rsidRDefault="00576538" w:rsidP="0087057F">
      <w:pPr>
        <w:spacing w:after="0" w:line="240" w:lineRule="auto"/>
      </w:pPr>
      <w:r>
        <w:separator/>
      </w:r>
    </w:p>
  </w:footnote>
  <w:footnote w:type="continuationSeparator" w:id="0">
    <w:p w14:paraId="4019F09D" w14:textId="77777777" w:rsidR="00576538" w:rsidRDefault="00576538" w:rsidP="0087057F">
      <w:pPr>
        <w:spacing w:after="0" w:line="240" w:lineRule="auto"/>
      </w:pPr>
      <w:r>
        <w:continuationSeparator/>
      </w:r>
    </w:p>
  </w:footnote>
  <w:footnote w:id="1">
    <w:p w14:paraId="0AF7C717" w14:textId="4E5ACDD2" w:rsidR="0087057F" w:rsidRDefault="0087057F">
      <w:pPr>
        <w:pStyle w:val="Notedebasdepage"/>
      </w:pPr>
      <w:r>
        <w:rPr>
          <w:rStyle w:val="Appelnotedebasdep"/>
        </w:rPr>
        <w:footnoteRef/>
      </w:r>
      <w:r>
        <w:t xml:space="preserve"> </w:t>
      </w:r>
      <w:r w:rsidRPr="0087057F">
        <w:t>https://shs.cairn.info/mots-cles-de-la-didactique-des-sciences--9782804157166-page-23</w:t>
      </w:r>
    </w:p>
  </w:footnote>
  <w:footnote w:id="2">
    <w:p w14:paraId="4944D392" w14:textId="57383116" w:rsidR="00642409" w:rsidRDefault="00642409">
      <w:pPr>
        <w:pStyle w:val="Notedebasdepage"/>
      </w:pPr>
      <w:r>
        <w:rPr>
          <w:rStyle w:val="Appelnotedebasdep"/>
        </w:rPr>
        <w:footnoteRef/>
      </w:r>
      <w:r>
        <w:t xml:space="preserve"> </w:t>
      </w:r>
      <w:r w:rsidR="00101F35" w:rsidRPr="00101F35">
        <w:t>Définitions</w:t>
      </w:r>
      <w:r w:rsidR="00101F35" w:rsidRPr="00101F35">
        <w:rPr>
          <w:rFonts w:ascii="Arial" w:hAnsi="Arial" w:cs="Arial"/>
        </w:rPr>
        <w:t> </w:t>
      </w:r>
      <w:r w:rsidR="00101F35" w:rsidRPr="00101F35">
        <w:t>: attribut, attributs - Dictionnaire de fran</w:t>
      </w:r>
      <w:r w:rsidR="00101F35" w:rsidRPr="00101F35">
        <w:rPr>
          <w:rFonts w:ascii="Aptos" w:hAnsi="Aptos" w:cs="Aptos"/>
        </w:rPr>
        <w:t>ç</w:t>
      </w:r>
      <w:r w:rsidR="00101F35" w:rsidRPr="00101F35">
        <w:t>ais Larousse [Internet]. [cit</w:t>
      </w:r>
      <w:r w:rsidR="00101F35" w:rsidRPr="00101F35">
        <w:rPr>
          <w:rFonts w:ascii="Aptos" w:hAnsi="Aptos" w:cs="Aptos"/>
        </w:rPr>
        <w:t>é</w:t>
      </w:r>
      <w:r w:rsidR="00101F35" w:rsidRPr="00101F35">
        <w:t xml:space="preserve"> 17 sept 2025]. Disponible sur: https://www.larousse.fr/dictionnaires/francais/attribut/6321</w:t>
      </w:r>
    </w:p>
  </w:footnote>
  <w:footnote w:id="3">
    <w:p w14:paraId="08EFEE45" w14:textId="3017AE8F" w:rsidR="0087057F" w:rsidRDefault="0087057F">
      <w:pPr>
        <w:pStyle w:val="Notedebasdepage"/>
      </w:pPr>
      <w:r>
        <w:rPr>
          <w:rStyle w:val="Appelnotedebasdep"/>
        </w:rPr>
        <w:footnoteRef/>
      </w:r>
      <w:r>
        <w:t xml:space="preserve"> </w:t>
      </w:r>
      <w:r w:rsidRPr="0087057F">
        <w:t>https://shs.cairn.info/formuler-une-problematique--9782100573868-page-5</w:t>
      </w:r>
    </w:p>
  </w:footnote>
  <w:footnote w:id="4">
    <w:p w14:paraId="54CE58E1" w14:textId="4C7AD019" w:rsidR="0087057F" w:rsidRDefault="0087057F">
      <w:pPr>
        <w:pStyle w:val="Notedebasdepage"/>
      </w:pPr>
      <w:r>
        <w:rPr>
          <w:rStyle w:val="Appelnotedebasdep"/>
        </w:rPr>
        <w:footnoteRef/>
      </w:r>
      <w:r>
        <w:t xml:space="preserve"> </w:t>
      </w:r>
      <w:r w:rsidRPr="0087057F">
        <w:t>http://www.dictionnaire-academie.fr/article/A9E2521</w:t>
      </w:r>
    </w:p>
  </w:footnote>
  <w:footnote w:id="5">
    <w:p w14:paraId="03A45AF2" w14:textId="008C8E10" w:rsidR="004B72E8" w:rsidRDefault="004B72E8">
      <w:pPr>
        <w:pStyle w:val="Notedebasdepage"/>
      </w:pPr>
      <w:r>
        <w:rPr>
          <w:rStyle w:val="Appelnotedebasdep"/>
        </w:rPr>
        <w:footnoteRef/>
      </w:r>
      <w:r>
        <w:t xml:space="preserve"> </w:t>
      </w:r>
      <w:r w:rsidRPr="004B72E8">
        <w:t>Clauzard P. L’exercice de la pensée avec le journal des apprentissages, en faveur de la secondarisation des élèves. Éducation et didactique. 30 juin 2021;15(15</w:t>
      </w:r>
      <w:r w:rsidRPr="004B72E8">
        <w:rPr>
          <w:rFonts w:ascii="Cambria Math" w:hAnsi="Cambria Math" w:cs="Cambria Math"/>
        </w:rPr>
        <w:t>‑</w:t>
      </w:r>
      <w:r w:rsidRPr="004B72E8">
        <w:t>2):27</w:t>
      </w:r>
      <w:r w:rsidRPr="004B72E8">
        <w:rPr>
          <w:rFonts w:ascii="Cambria Math" w:hAnsi="Cambria Math" w:cs="Cambria Math"/>
        </w:rPr>
        <w:t>‑</w:t>
      </w:r>
      <w:r w:rsidRPr="004B72E8">
        <w:t>45.</w:t>
      </w:r>
    </w:p>
  </w:footnote>
  <w:footnote w:id="6">
    <w:p w14:paraId="5DDA8155" w14:textId="374D30B9" w:rsidR="0087057F" w:rsidRDefault="0087057F">
      <w:pPr>
        <w:pStyle w:val="Notedebasdepage"/>
      </w:pPr>
      <w:r>
        <w:rPr>
          <w:rStyle w:val="Appelnotedebasdep"/>
        </w:rPr>
        <w:footnoteRef/>
      </w:r>
      <w:r>
        <w:t xml:space="preserve"> </w:t>
      </w:r>
      <w:r w:rsidRPr="0087057F">
        <w:t>Lise Michaud. Les mots du prendre soin. Paris : Editions Seli Arslan ; 2017. Page 40.</w:t>
      </w:r>
    </w:p>
  </w:footnote>
  <w:footnote w:id="7">
    <w:p w14:paraId="1CCDED57" w14:textId="0F553701" w:rsidR="0087057F" w:rsidRDefault="0087057F">
      <w:pPr>
        <w:pStyle w:val="Notedebasdepage"/>
      </w:pPr>
      <w:r>
        <w:rPr>
          <w:rStyle w:val="Appelnotedebasdep"/>
        </w:rPr>
        <w:footnoteRef/>
      </w:r>
      <w:r>
        <w:t xml:space="preserve"> </w:t>
      </w:r>
      <w:r w:rsidRPr="0087057F">
        <w:t>https://shs.cairn.info/ergonomie-150-notions-cles--9782100822126-page-193</w:t>
      </w:r>
    </w:p>
  </w:footnote>
  <w:footnote w:id="8">
    <w:p w14:paraId="66D2D62D" w14:textId="6A59D034" w:rsidR="0087057F" w:rsidRDefault="0087057F">
      <w:pPr>
        <w:pStyle w:val="Notedebasdepage"/>
      </w:pPr>
      <w:r>
        <w:rPr>
          <w:rStyle w:val="Appelnotedebasdep"/>
        </w:rPr>
        <w:footnoteRef/>
      </w:r>
      <w:r>
        <w:t xml:space="preserve"> </w:t>
      </w:r>
      <w:r w:rsidRPr="0087057F">
        <w:t>https://www.cnrtl.fr/definition/confort/1</w:t>
      </w:r>
    </w:p>
  </w:footnote>
  <w:footnote w:id="9">
    <w:p w14:paraId="5B376201" w14:textId="1F820FBB" w:rsidR="0087057F" w:rsidRDefault="0087057F">
      <w:pPr>
        <w:pStyle w:val="Notedebasdepage"/>
      </w:pPr>
      <w:r>
        <w:rPr>
          <w:rStyle w:val="Appelnotedebasdep"/>
        </w:rPr>
        <w:footnoteRef/>
      </w:r>
      <w:r>
        <w:t xml:space="preserve"> </w:t>
      </w:r>
      <w:r w:rsidRPr="0087057F">
        <w:t>https://lasujets.com/comprendre-le-confort-humain/</w:t>
      </w:r>
    </w:p>
  </w:footnote>
  <w:footnote w:id="10">
    <w:p w14:paraId="5F257E94" w14:textId="176E8755" w:rsidR="00F95E04" w:rsidRDefault="00F95E04">
      <w:pPr>
        <w:pStyle w:val="Notedebasdepage"/>
      </w:pPr>
      <w:r>
        <w:rPr>
          <w:rStyle w:val="Appelnotedebasdep"/>
        </w:rPr>
        <w:footnoteRef/>
      </w:r>
      <w:r>
        <w:t xml:space="preserve"> </w:t>
      </w:r>
      <w:r w:rsidR="00FF5117" w:rsidRPr="00FF5117">
        <w:t>https://www.legifrance.gouv.fr/codes/id/LEGISCTA000006161001/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AF"/>
    <w:multiLevelType w:val="hybridMultilevel"/>
    <w:tmpl w:val="DA663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962576"/>
    <w:multiLevelType w:val="hybridMultilevel"/>
    <w:tmpl w:val="010C9984"/>
    <w:lvl w:ilvl="0" w:tplc="06FAEB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EB3626"/>
    <w:multiLevelType w:val="hybridMultilevel"/>
    <w:tmpl w:val="B54476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513E5A"/>
    <w:multiLevelType w:val="hybridMultilevel"/>
    <w:tmpl w:val="95463E6E"/>
    <w:lvl w:ilvl="0" w:tplc="BC6608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F035F7"/>
    <w:multiLevelType w:val="hybridMultilevel"/>
    <w:tmpl w:val="AE7A326C"/>
    <w:lvl w:ilvl="0" w:tplc="6FA8DB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C0E70F3"/>
    <w:multiLevelType w:val="hybridMultilevel"/>
    <w:tmpl w:val="279AB9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6562518">
    <w:abstractNumId w:val="1"/>
  </w:num>
  <w:num w:numId="2" w16cid:durableId="258564857">
    <w:abstractNumId w:val="4"/>
  </w:num>
  <w:num w:numId="3" w16cid:durableId="1279946771">
    <w:abstractNumId w:val="3"/>
  </w:num>
  <w:num w:numId="4" w16cid:durableId="495656673">
    <w:abstractNumId w:val="2"/>
  </w:num>
  <w:num w:numId="5" w16cid:durableId="70976565">
    <w:abstractNumId w:val="5"/>
  </w:num>
  <w:num w:numId="6" w16cid:durableId="131460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7F"/>
    <w:rsid w:val="00021E3F"/>
    <w:rsid w:val="00056E2F"/>
    <w:rsid w:val="00083CB4"/>
    <w:rsid w:val="000B1004"/>
    <w:rsid w:val="000C3116"/>
    <w:rsid w:val="000C57AD"/>
    <w:rsid w:val="000F31E6"/>
    <w:rsid w:val="000F5651"/>
    <w:rsid w:val="00101F35"/>
    <w:rsid w:val="00106763"/>
    <w:rsid w:val="001079D0"/>
    <w:rsid w:val="001419D2"/>
    <w:rsid w:val="0014660D"/>
    <w:rsid w:val="0015115B"/>
    <w:rsid w:val="00167659"/>
    <w:rsid w:val="001B53CD"/>
    <w:rsid w:val="001D52A3"/>
    <w:rsid w:val="001E799F"/>
    <w:rsid w:val="0022289E"/>
    <w:rsid w:val="002242F6"/>
    <w:rsid w:val="002506D5"/>
    <w:rsid w:val="00264E03"/>
    <w:rsid w:val="00277091"/>
    <w:rsid w:val="002B3E5B"/>
    <w:rsid w:val="002B4474"/>
    <w:rsid w:val="002B7438"/>
    <w:rsid w:val="002D0E69"/>
    <w:rsid w:val="002D7E95"/>
    <w:rsid w:val="002E1B75"/>
    <w:rsid w:val="00321FB8"/>
    <w:rsid w:val="00327DDE"/>
    <w:rsid w:val="00341615"/>
    <w:rsid w:val="00356C99"/>
    <w:rsid w:val="00366A8E"/>
    <w:rsid w:val="00371BEB"/>
    <w:rsid w:val="003726CA"/>
    <w:rsid w:val="003B2109"/>
    <w:rsid w:val="0041239B"/>
    <w:rsid w:val="004133C1"/>
    <w:rsid w:val="0041727F"/>
    <w:rsid w:val="00435134"/>
    <w:rsid w:val="004449D8"/>
    <w:rsid w:val="0044724D"/>
    <w:rsid w:val="0044771F"/>
    <w:rsid w:val="00453BE2"/>
    <w:rsid w:val="004A5481"/>
    <w:rsid w:val="004B0EC7"/>
    <w:rsid w:val="004B72E8"/>
    <w:rsid w:val="005131A3"/>
    <w:rsid w:val="00532621"/>
    <w:rsid w:val="00576538"/>
    <w:rsid w:val="00597DF5"/>
    <w:rsid w:val="005A4951"/>
    <w:rsid w:val="005B032F"/>
    <w:rsid w:val="005B6C9C"/>
    <w:rsid w:val="005C49D7"/>
    <w:rsid w:val="005C751A"/>
    <w:rsid w:val="005E7311"/>
    <w:rsid w:val="00626650"/>
    <w:rsid w:val="00642409"/>
    <w:rsid w:val="00660F4A"/>
    <w:rsid w:val="006B01B7"/>
    <w:rsid w:val="006B0DE1"/>
    <w:rsid w:val="006B7C5B"/>
    <w:rsid w:val="00713D83"/>
    <w:rsid w:val="007169BD"/>
    <w:rsid w:val="00751966"/>
    <w:rsid w:val="007529B5"/>
    <w:rsid w:val="00756319"/>
    <w:rsid w:val="00771B0A"/>
    <w:rsid w:val="007C01E2"/>
    <w:rsid w:val="007D2DF6"/>
    <w:rsid w:val="007F58C7"/>
    <w:rsid w:val="007F618C"/>
    <w:rsid w:val="0081310E"/>
    <w:rsid w:val="00830E09"/>
    <w:rsid w:val="0083384F"/>
    <w:rsid w:val="0084435E"/>
    <w:rsid w:val="0087057F"/>
    <w:rsid w:val="00882308"/>
    <w:rsid w:val="008B2A82"/>
    <w:rsid w:val="008C4EE8"/>
    <w:rsid w:val="008D3952"/>
    <w:rsid w:val="008E4122"/>
    <w:rsid w:val="008E6858"/>
    <w:rsid w:val="00923E7C"/>
    <w:rsid w:val="00926567"/>
    <w:rsid w:val="009442E2"/>
    <w:rsid w:val="009477E7"/>
    <w:rsid w:val="00977F6B"/>
    <w:rsid w:val="009D6172"/>
    <w:rsid w:val="009E2610"/>
    <w:rsid w:val="00A21184"/>
    <w:rsid w:val="00A25103"/>
    <w:rsid w:val="00A3689B"/>
    <w:rsid w:val="00A522A3"/>
    <w:rsid w:val="00A61D24"/>
    <w:rsid w:val="00A6545C"/>
    <w:rsid w:val="00A66856"/>
    <w:rsid w:val="00A713C4"/>
    <w:rsid w:val="00A7308E"/>
    <w:rsid w:val="00A77868"/>
    <w:rsid w:val="00A82825"/>
    <w:rsid w:val="00AA14E5"/>
    <w:rsid w:val="00AA3BC4"/>
    <w:rsid w:val="00AB052F"/>
    <w:rsid w:val="00AB79AB"/>
    <w:rsid w:val="00AC144B"/>
    <w:rsid w:val="00AC5454"/>
    <w:rsid w:val="00AD7467"/>
    <w:rsid w:val="00AE4BD4"/>
    <w:rsid w:val="00AF57A8"/>
    <w:rsid w:val="00B000AC"/>
    <w:rsid w:val="00B130DE"/>
    <w:rsid w:val="00B1759D"/>
    <w:rsid w:val="00B2056E"/>
    <w:rsid w:val="00B37B51"/>
    <w:rsid w:val="00B43B15"/>
    <w:rsid w:val="00B955B9"/>
    <w:rsid w:val="00B97BA9"/>
    <w:rsid w:val="00BA1AD8"/>
    <w:rsid w:val="00BB1337"/>
    <w:rsid w:val="00BC1DB1"/>
    <w:rsid w:val="00BD1F72"/>
    <w:rsid w:val="00BE4A4B"/>
    <w:rsid w:val="00BE55AE"/>
    <w:rsid w:val="00C022AD"/>
    <w:rsid w:val="00C077A8"/>
    <w:rsid w:val="00C252D3"/>
    <w:rsid w:val="00C65010"/>
    <w:rsid w:val="00CD48CD"/>
    <w:rsid w:val="00CE6C3B"/>
    <w:rsid w:val="00CF0538"/>
    <w:rsid w:val="00CF5DD7"/>
    <w:rsid w:val="00D15767"/>
    <w:rsid w:val="00D3686A"/>
    <w:rsid w:val="00D438B8"/>
    <w:rsid w:val="00DB7BC3"/>
    <w:rsid w:val="00DC7399"/>
    <w:rsid w:val="00DD734A"/>
    <w:rsid w:val="00DF4630"/>
    <w:rsid w:val="00E028E3"/>
    <w:rsid w:val="00E36922"/>
    <w:rsid w:val="00E52DB4"/>
    <w:rsid w:val="00E635CB"/>
    <w:rsid w:val="00E75049"/>
    <w:rsid w:val="00E75F0D"/>
    <w:rsid w:val="00EA32E7"/>
    <w:rsid w:val="00EC02D8"/>
    <w:rsid w:val="00EC379C"/>
    <w:rsid w:val="00F060D7"/>
    <w:rsid w:val="00F16E62"/>
    <w:rsid w:val="00F24E40"/>
    <w:rsid w:val="00F26813"/>
    <w:rsid w:val="00F372B8"/>
    <w:rsid w:val="00F46D65"/>
    <w:rsid w:val="00F520C0"/>
    <w:rsid w:val="00F82C06"/>
    <w:rsid w:val="00F912BA"/>
    <w:rsid w:val="00F95E04"/>
    <w:rsid w:val="00FD3A1F"/>
    <w:rsid w:val="00FE70CD"/>
    <w:rsid w:val="00FF4E7D"/>
    <w:rsid w:val="00FF5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AA6B"/>
  <w15:chartTrackingRefBased/>
  <w15:docId w15:val="{B9EC2F6D-F4EC-4612-A0FC-4BF527EC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0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0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05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05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05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05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05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05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05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05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05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05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05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05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05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05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05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057F"/>
    <w:rPr>
      <w:rFonts w:eastAsiaTheme="majorEastAsia" w:cstheme="majorBidi"/>
      <w:color w:val="272727" w:themeColor="text1" w:themeTint="D8"/>
    </w:rPr>
  </w:style>
  <w:style w:type="paragraph" w:styleId="Titre">
    <w:name w:val="Title"/>
    <w:basedOn w:val="Normal"/>
    <w:next w:val="Normal"/>
    <w:link w:val="TitreCar"/>
    <w:uiPriority w:val="10"/>
    <w:qFormat/>
    <w:rsid w:val="00870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05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05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05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057F"/>
    <w:pPr>
      <w:spacing w:before="160"/>
      <w:jc w:val="center"/>
    </w:pPr>
    <w:rPr>
      <w:i/>
      <w:iCs/>
      <w:color w:val="404040" w:themeColor="text1" w:themeTint="BF"/>
    </w:rPr>
  </w:style>
  <w:style w:type="character" w:customStyle="1" w:styleId="CitationCar">
    <w:name w:val="Citation Car"/>
    <w:basedOn w:val="Policepardfaut"/>
    <w:link w:val="Citation"/>
    <w:uiPriority w:val="29"/>
    <w:rsid w:val="0087057F"/>
    <w:rPr>
      <w:i/>
      <w:iCs/>
      <w:color w:val="404040" w:themeColor="text1" w:themeTint="BF"/>
    </w:rPr>
  </w:style>
  <w:style w:type="paragraph" w:styleId="Paragraphedeliste">
    <w:name w:val="List Paragraph"/>
    <w:basedOn w:val="Normal"/>
    <w:uiPriority w:val="34"/>
    <w:qFormat/>
    <w:rsid w:val="0087057F"/>
    <w:pPr>
      <w:ind w:left="720"/>
      <w:contextualSpacing/>
    </w:pPr>
  </w:style>
  <w:style w:type="character" w:styleId="Accentuationintense">
    <w:name w:val="Intense Emphasis"/>
    <w:basedOn w:val="Policepardfaut"/>
    <w:uiPriority w:val="21"/>
    <w:qFormat/>
    <w:rsid w:val="0087057F"/>
    <w:rPr>
      <w:i/>
      <w:iCs/>
      <w:color w:val="0F4761" w:themeColor="accent1" w:themeShade="BF"/>
    </w:rPr>
  </w:style>
  <w:style w:type="paragraph" w:styleId="Citationintense">
    <w:name w:val="Intense Quote"/>
    <w:basedOn w:val="Normal"/>
    <w:next w:val="Normal"/>
    <w:link w:val="CitationintenseCar"/>
    <w:uiPriority w:val="30"/>
    <w:qFormat/>
    <w:rsid w:val="00870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057F"/>
    <w:rPr>
      <w:i/>
      <w:iCs/>
      <w:color w:val="0F4761" w:themeColor="accent1" w:themeShade="BF"/>
    </w:rPr>
  </w:style>
  <w:style w:type="character" w:styleId="Rfrenceintense">
    <w:name w:val="Intense Reference"/>
    <w:basedOn w:val="Policepardfaut"/>
    <w:uiPriority w:val="32"/>
    <w:qFormat/>
    <w:rsid w:val="0087057F"/>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8705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057F"/>
    <w:rPr>
      <w:sz w:val="20"/>
      <w:szCs w:val="20"/>
    </w:rPr>
  </w:style>
  <w:style w:type="character" w:styleId="Appelnotedebasdep">
    <w:name w:val="footnote reference"/>
    <w:basedOn w:val="Policepardfaut"/>
    <w:uiPriority w:val="99"/>
    <w:semiHidden/>
    <w:unhideWhenUsed/>
    <w:rsid w:val="0087057F"/>
    <w:rPr>
      <w:vertAlign w:val="superscript"/>
    </w:rPr>
  </w:style>
  <w:style w:type="character" w:styleId="Lienhypertexte">
    <w:name w:val="Hyperlink"/>
    <w:basedOn w:val="Policepardfaut"/>
    <w:uiPriority w:val="99"/>
    <w:unhideWhenUsed/>
    <w:rsid w:val="00021E3F"/>
    <w:rPr>
      <w:color w:val="467886" w:themeColor="hyperlink"/>
      <w:u w:val="single"/>
    </w:rPr>
  </w:style>
  <w:style w:type="character" w:styleId="Mentionnonrsolue">
    <w:name w:val="Unresolved Mention"/>
    <w:basedOn w:val="Policepardfaut"/>
    <w:uiPriority w:val="99"/>
    <w:semiHidden/>
    <w:unhideWhenUsed/>
    <w:rsid w:val="0002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rousse.fr/dictionnaires/francais/attribut/63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id/LEGISCTA000006161001/" TargetMode="External"/><Relationship Id="rId5" Type="http://schemas.openxmlformats.org/officeDocument/2006/relationships/webSettings" Target="webSettings.xml"/><Relationship Id="rId10" Type="http://schemas.openxmlformats.org/officeDocument/2006/relationships/hyperlink" Target="https://www.cnrtl.fr/definition/confort/1" TargetMode="External"/><Relationship Id="rId4" Type="http://schemas.openxmlformats.org/officeDocument/2006/relationships/settings" Target="settings.xml"/><Relationship Id="rId9" Type="http://schemas.openxmlformats.org/officeDocument/2006/relationships/hyperlink" Target="https://shs.cairn.info/ergonomie-150-notions-cles--9782100822126-page-19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7179-AD7A-499A-8258-3D865547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6620</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Bartnicki</dc:creator>
  <cp:keywords/>
  <dc:description/>
  <cp:lastModifiedBy>Karen Bartnicki</cp:lastModifiedBy>
  <cp:revision>149</cp:revision>
  <dcterms:created xsi:type="dcterms:W3CDTF">2025-09-15T13:04:00Z</dcterms:created>
  <dcterms:modified xsi:type="dcterms:W3CDTF">2025-09-25T07:12:00Z</dcterms:modified>
</cp:coreProperties>
</file>