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9FAD" w14:textId="77777777" w:rsidR="003D4A4A" w:rsidRDefault="00000000">
      <w:pPr>
        <w:spacing w:after="960"/>
        <w:jc w:val="center"/>
        <w:rPr>
          <w:rFonts w:ascii="Lucida Bright" w:eastAsia="Lucida Bright" w:hAnsi="Lucida Bright" w:cs="Lucida Bright"/>
          <w:sz w:val="28"/>
          <w:szCs w:val="28"/>
        </w:rPr>
      </w:pPr>
      <w:r>
        <w:rPr>
          <w:rFonts w:ascii="Times New Roman" w:eastAsia="Times New Roman" w:hAnsi="Times New Roman" w:cs="Times New Roman"/>
          <w:b/>
          <w:noProof/>
          <w:sz w:val="28"/>
          <w:szCs w:val="28"/>
        </w:rPr>
        <w:drawing>
          <wp:inline distT="0" distB="0" distL="0" distR="0" wp14:anchorId="3B940520" wp14:editId="389570D8">
            <wp:extent cx="3491865" cy="91948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491865" cy="919480"/>
                    </a:xfrm>
                    <a:prstGeom prst="rect">
                      <a:avLst/>
                    </a:prstGeom>
                    <a:ln/>
                  </pic:spPr>
                </pic:pic>
              </a:graphicData>
            </a:graphic>
          </wp:inline>
        </w:drawing>
      </w:r>
    </w:p>
    <w:p w14:paraId="68327ED2" w14:textId="77777777" w:rsidR="003D4A4A" w:rsidRDefault="00000000">
      <w:pPr>
        <w:spacing w:after="720"/>
        <w:jc w:val="center"/>
        <w:rPr>
          <w:rFonts w:ascii="Lucida Bright" w:eastAsia="Lucida Bright" w:hAnsi="Lucida Bright" w:cs="Lucida Bright"/>
          <w:sz w:val="28"/>
          <w:szCs w:val="28"/>
        </w:rPr>
      </w:pPr>
      <w:r>
        <w:rPr>
          <w:noProof/>
        </w:rPr>
        <w:drawing>
          <wp:inline distT="0" distB="0" distL="0" distR="0" wp14:anchorId="5816EE9A" wp14:editId="02CC6583">
            <wp:extent cx="3637059" cy="3076575"/>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637059" cy="3076575"/>
                    </a:xfrm>
                    <a:prstGeom prst="rect">
                      <a:avLst/>
                    </a:prstGeom>
                    <a:ln/>
                  </pic:spPr>
                </pic:pic>
              </a:graphicData>
            </a:graphic>
          </wp:inline>
        </w:drawing>
      </w:r>
    </w:p>
    <w:p w14:paraId="7438295C" w14:textId="77777777" w:rsidR="003D4A4A" w:rsidRDefault="00000000">
      <w:pPr>
        <w:spacing w:after="480"/>
        <w:jc w:val="center"/>
        <w:rPr>
          <w:rFonts w:ascii="Arial" w:eastAsia="Arial" w:hAnsi="Arial" w:cs="Arial"/>
          <w:sz w:val="32"/>
          <w:szCs w:val="32"/>
        </w:rPr>
      </w:pPr>
      <w:r>
        <w:rPr>
          <w:rFonts w:ascii="Arial" w:eastAsia="Arial" w:hAnsi="Arial" w:cs="Arial"/>
          <w:sz w:val="32"/>
          <w:szCs w:val="32"/>
        </w:rPr>
        <w:t>Année Universitaire 2021 – 2022</w:t>
      </w:r>
    </w:p>
    <w:p w14:paraId="29979DEB" w14:textId="77777777" w:rsidR="003D4A4A" w:rsidRDefault="00000000">
      <w:pPr>
        <w:spacing w:after="720"/>
        <w:jc w:val="center"/>
        <w:rPr>
          <w:rFonts w:ascii="Arial" w:eastAsia="Arial" w:hAnsi="Arial" w:cs="Arial"/>
          <w:sz w:val="52"/>
          <w:szCs w:val="52"/>
        </w:rPr>
      </w:pPr>
      <w:r>
        <w:rPr>
          <w:rFonts w:ascii="Arial" w:eastAsia="Arial" w:hAnsi="Arial" w:cs="Arial"/>
          <w:sz w:val="52"/>
          <w:szCs w:val="52"/>
        </w:rPr>
        <w:t>Unité d’Enseignement spé médecine</w:t>
      </w:r>
    </w:p>
    <w:p w14:paraId="3891FEA3" w14:textId="77777777" w:rsidR="003D4A4A" w:rsidRDefault="003D4A4A">
      <w:pPr>
        <w:tabs>
          <w:tab w:val="center" w:pos="1418"/>
          <w:tab w:val="center" w:pos="4253"/>
          <w:tab w:val="center" w:pos="7088"/>
        </w:tabs>
        <w:spacing w:after="480"/>
        <w:jc w:val="center"/>
        <w:rPr>
          <w:rFonts w:ascii="Arial" w:eastAsia="Arial" w:hAnsi="Arial" w:cs="Arial"/>
          <w:sz w:val="32"/>
          <w:szCs w:val="32"/>
        </w:rPr>
      </w:pPr>
    </w:p>
    <w:p w14:paraId="53E28AE1" w14:textId="77777777" w:rsidR="003D4A4A" w:rsidRDefault="00000000">
      <w:pPr>
        <w:tabs>
          <w:tab w:val="center" w:pos="1418"/>
          <w:tab w:val="center" w:pos="4253"/>
          <w:tab w:val="center" w:pos="7088"/>
        </w:tabs>
        <w:spacing w:after="720"/>
        <w:jc w:val="center"/>
        <w:rPr>
          <w:rFonts w:ascii="Arial" w:eastAsia="Arial" w:hAnsi="Arial" w:cs="Arial"/>
          <w:sz w:val="24"/>
          <w:szCs w:val="24"/>
        </w:rPr>
      </w:pPr>
      <w:r>
        <w:rPr>
          <w:rFonts w:ascii="Arial" w:eastAsia="Arial" w:hAnsi="Arial" w:cs="Arial"/>
          <w:sz w:val="24"/>
          <w:szCs w:val="24"/>
        </w:rPr>
        <w:t>Correction détaillée</w:t>
      </w:r>
    </w:p>
    <w:p w14:paraId="34F6C782" w14:textId="77777777" w:rsidR="003D4A4A" w:rsidRDefault="003D4A4A">
      <w:pPr>
        <w:tabs>
          <w:tab w:val="center" w:pos="1418"/>
          <w:tab w:val="center" w:pos="4253"/>
          <w:tab w:val="center" w:pos="7088"/>
        </w:tabs>
        <w:spacing w:after="0"/>
        <w:jc w:val="right"/>
        <w:rPr>
          <w:rFonts w:ascii="Arial" w:eastAsia="Arial" w:hAnsi="Arial" w:cs="Arial"/>
          <w:b/>
          <w:sz w:val="24"/>
          <w:szCs w:val="24"/>
        </w:rPr>
      </w:pPr>
    </w:p>
    <w:p w14:paraId="7A50A409" w14:textId="77777777" w:rsidR="003D4A4A" w:rsidRDefault="003D4A4A">
      <w:pPr>
        <w:tabs>
          <w:tab w:val="center" w:pos="1418"/>
          <w:tab w:val="center" w:pos="4253"/>
          <w:tab w:val="center" w:pos="7088"/>
        </w:tabs>
        <w:spacing w:after="0"/>
        <w:jc w:val="right"/>
        <w:rPr>
          <w:rFonts w:ascii="Arial" w:eastAsia="Arial" w:hAnsi="Arial" w:cs="Arial"/>
          <w:b/>
          <w:sz w:val="24"/>
          <w:szCs w:val="24"/>
        </w:rPr>
      </w:pPr>
    </w:p>
    <w:p w14:paraId="02B1D6FF" w14:textId="77777777" w:rsidR="003D4A4A" w:rsidRDefault="00000000">
      <w:pPr>
        <w:tabs>
          <w:tab w:val="center" w:pos="1418"/>
          <w:tab w:val="center" w:pos="4253"/>
          <w:tab w:val="center" w:pos="7088"/>
        </w:tabs>
        <w:jc w:val="right"/>
        <w:rPr>
          <w:rFonts w:ascii="Arial" w:eastAsia="Arial" w:hAnsi="Arial" w:cs="Arial"/>
          <w:b/>
          <w:sz w:val="24"/>
          <w:szCs w:val="24"/>
        </w:rPr>
      </w:pPr>
      <w:r>
        <w:rPr>
          <w:rFonts w:ascii="Arial" w:eastAsia="Arial" w:hAnsi="Arial" w:cs="Arial"/>
          <w:b/>
          <w:sz w:val="24"/>
          <w:szCs w:val="24"/>
        </w:rPr>
        <w:t>Fany BATAILLON</w:t>
      </w:r>
    </w:p>
    <w:p w14:paraId="7B91B380" w14:textId="77777777" w:rsidR="003D4A4A" w:rsidRDefault="00000000">
      <w:pPr>
        <w:tabs>
          <w:tab w:val="center" w:pos="1418"/>
          <w:tab w:val="center" w:pos="4253"/>
          <w:tab w:val="center" w:pos="7088"/>
        </w:tabs>
        <w:jc w:val="right"/>
        <w:rPr>
          <w:rFonts w:ascii="Times" w:eastAsia="Times" w:hAnsi="Times" w:cs="Times"/>
          <w:sz w:val="24"/>
          <w:szCs w:val="24"/>
        </w:rPr>
      </w:pPr>
      <w:r>
        <w:rPr>
          <w:rFonts w:ascii="Arial" w:eastAsia="Arial" w:hAnsi="Arial" w:cs="Arial"/>
          <w:b/>
          <w:sz w:val="24"/>
          <w:szCs w:val="24"/>
        </w:rPr>
        <w:t>Lucie FAGOT</w:t>
      </w:r>
      <w:r>
        <w:br w:type="page"/>
      </w:r>
    </w:p>
    <w:p w14:paraId="1FA01E8E" w14:textId="77777777" w:rsidR="003D4A4A" w:rsidRDefault="00000000">
      <w:pPr>
        <w:pageBreakBefore/>
        <w:pBdr>
          <w:top w:val="single" w:sz="4" w:space="1" w:color="000000"/>
          <w:left w:val="single" w:sz="4" w:space="4" w:color="000000"/>
          <w:bottom w:val="single" w:sz="4" w:space="1" w:color="000000"/>
          <w:right w:val="single" w:sz="4" w:space="4" w:color="000000"/>
          <w:between w:val="nil"/>
        </w:pBdr>
        <w:shd w:val="clear" w:color="auto" w:fill="ECECEC"/>
        <w:spacing w:after="360" w:line="240" w:lineRule="auto"/>
        <w:ind w:firstLine="0"/>
        <w:jc w:val="center"/>
        <w:rPr>
          <w:rFonts w:ascii="Arial" w:eastAsia="Arial" w:hAnsi="Arial" w:cs="Arial"/>
          <w:b/>
          <w:color w:val="000000"/>
          <w:sz w:val="30"/>
          <w:szCs w:val="30"/>
        </w:rPr>
      </w:pPr>
      <w:r>
        <w:rPr>
          <w:rFonts w:ascii="Arial" w:eastAsia="Arial" w:hAnsi="Arial" w:cs="Arial"/>
          <w:b/>
          <w:color w:val="000000"/>
          <w:sz w:val="30"/>
          <w:szCs w:val="30"/>
        </w:rPr>
        <w:lastRenderedPageBreak/>
        <w:t>Correction rapide</w:t>
      </w:r>
    </w:p>
    <w:tbl>
      <w:tblPr>
        <w:tblStyle w:val="a"/>
        <w:tblW w:w="38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2270"/>
      </w:tblGrid>
      <w:tr w:rsidR="003D4A4A" w14:paraId="03397FCA" w14:textId="77777777">
        <w:trPr>
          <w:trHeight w:val="737"/>
          <w:jc w:val="center"/>
        </w:trPr>
        <w:tc>
          <w:tcPr>
            <w:tcW w:w="1626" w:type="dxa"/>
            <w:shd w:val="clear" w:color="auto" w:fill="D9D9D9"/>
            <w:vAlign w:val="center"/>
          </w:tcPr>
          <w:p w14:paraId="5CC0EB1A" w14:textId="77777777" w:rsidR="003D4A4A" w:rsidRDefault="00000000">
            <w:pPr>
              <w:pBdr>
                <w:top w:val="nil"/>
                <w:left w:val="nil"/>
                <w:bottom w:val="nil"/>
                <w:right w:val="nil"/>
                <w:between w:val="nil"/>
              </w:pBdr>
              <w:spacing w:before="160" w:line="276" w:lineRule="auto"/>
              <w:ind w:firstLine="0"/>
              <w:jc w:val="center"/>
              <w:rPr>
                <w:rFonts w:ascii="Arial" w:eastAsia="Arial" w:hAnsi="Arial" w:cs="Arial"/>
                <w:b/>
                <w:color w:val="000000"/>
                <w:sz w:val="24"/>
                <w:szCs w:val="24"/>
                <w:u w:val="single"/>
              </w:rPr>
            </w:pPr>
            <w:r>
              <w:rPr>
                <w:rFonts w:ascii="Arial" w:eastAsia="Arial" w:hAnsi="Arial" w:cs="Arial"/>
                <w:b/>
                <w:color w:val="000000"/>
                <w:sz w:val="24"/>
                <w:szCs w:val="24"/>
                <w:u w:val="single"/>
              </w:rPr>
              <w:t>Questions</w:t>
            </w:r>
          </w:p>
        </w:tc>
        <w:tc>
          <w:tcPr>
            <w:tcW w:w="2270" w:type="dxa"/>
            <w:shd w:val="clear" w:color="auto" w:fill="D9D9D9"/>
            <w:vAlign w:val="center"/>
          </w:tcPr>
          <w:p w14:paraId="70082327" w14:textId="77777777" w:rsidR="003D4A4A" w:rsidRDefault="00000000">
            <w:pPr>
              <w:pBdr>
                <w:top w:val="nil"/>
                <w:left w:val="nil"/>
                <w:bottom w:val="nil"/>
                <w:right w:val="nil"/>
                <w:between w:val="nil"/>
              </w:pBdr>
              <w:spacing w:before="160" w:line="276" w:lineRule="auto"/>
              <w:ind w:left="-74" w:right="-246" w:firstLine="0"/>
              <w:jc w:val="center"/>
              <w:rPr>
                <w:rFonts w:ascii="Arial" w:eastAsia="Arial" w:hAnsi="Arial" w:cs="Arial"/>
                <w:b/>
                <w:color w:val="000000"/>
                <w:sz w:val="24"/>
                <w:szCs w:val="24"/>
                <w:u w:val="single"/>
              </w:rPr>
            </w:pPr>
            <w:r>
              <w:rPr>
                <w:rFonts w:ascii="Arial" w:eastAsia="Arial" w:hAnsi="Arial" w:cs="Arial"/>
                <w:b/>
                <w:color w:val="000000"/>
                <w:sz w:val="24"/>
                <w:szCs w:val="24"/>
                <w:u w:val="single"/>
              </w:rPr>
              <w:t>Réponses</w:t>
            </w:r>
          </w:p>
        </w:tc>
      </w:tr>
      <w:tr w:rsidR="003D4A4A" w14:paraId="3DE1972D" w14:textId="77777777">
        <w:trPr>
          <w:trHeight w:val="359"/>
          <w:jc w:val="center"/>
        </w:trPr>
        <w:tc>
          <w:tcPr>
            <w:tcW w:w="1626" w:type="dxa"/>
            <w:vAlign w:val="center"/>
          </w:tcPr>
          <w:p w14:paraId="4FE81C28"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11</w:t>
            </w:r>
          </w:p>
        </w:tc>
        <w:tc>
          <w:tcPr>
            <w:tcW w:w="2270" w:type="dxa"/>
            <w:vAlign w:val="center"/>
          </w:tcPr>
          <w:p w14:paraId="168D1815"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ABDE</w:t>
            </w:r>
          </w:p>
        </w:tc>
      </w:tr>
      <w:tr w:rsidR="003D4A4A" w14:paraId="2D58898E" w14:textId="77777777">
        <w:trPr>
          <w:trHeight w:val="359"/>
          <w:jc w:val="center"/>
        </w:trPr>
        <w:tc>
          <w:tcPr>
            <w:tcW w:w="1626" w:type="dxa"/>
            <w:vAlign w:val="center"/>
          </w:tcPr>
          <w:p w14:paraId="12716002"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12</w:t>
            </w:r>
          </w:p>
        </w:tc>
        <w:tc>
          <w:tcPr>
            <w:tcW w:w="2270" w:type="dxa"/>
            <w:vAlign w:val="center"/>
          </w:tcPr>
          <w:p w14:paraId="227CEB38"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ADE</w:t>
            </w:r>
          </w:p>
        </w:tc>
      </w:tr>
      <w:tr w:rsidR="003D4A4A" w14:paraId="5557F064" w14:textId="77777777">
        <w:trPr>
          <w:trHeight w:val="359"/>
          <w:jc w:val="center"/>
        </w:trPr>
        <w:tc>
          <w:tcPr>
            <w:tcW w:w="1626" w:type="dxa"/>
            <w:vAlign w:val="center"/>
          </w:tcPr>
          <w:p w14:paraId="38A1C7A1"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13</w:t>
            </w:r>
          </w:p>
        </w:tc>
        <w:tc>
          <w:tcPr>
            <w:tcW w:w="2270" w:type="dxa"/>
            <w:vAlign w:val="center"/>
          </w:tcPr>
          <w:p w14:paraId="31744A6C"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DE</w:t>
            </w:r>
          </w:p>
        </w:tc>
      </w:tr>
      <w:tr w:rsidR="003D4A4A" w14:paraId="3F5EE95E" w14:textId="77777777">
        <w:trPr>
          <w:trHeight w:val="380"/>
          <w:jc w:val="center"/>
        </w:trPr>
        <w:tc>
          <w:tcPr>
            <w:tcW w:w="1626" w:type="dxa"/>
            <w:vAlign w:val="center"/>
          </w:tcPr>
          <w:p w14:paraId="29AE2065"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14</w:t>
            </w:r>
          </w:p>
        </w:tc>
        <w:tc>
          <w:tcPr>
            <w:tcW w:w="2270" w:type="dxa"/>
            <w:vAlign w:val="center"/>
          </w:tcPr>
          <w:p w14:paraId="181D8408"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AB</w:t>
            </w:r>
          </w:p>
        </w:tc>
      </w:tr>
      <w:tr w:rsidR="003D4A4A" w14:paraId="5808B811" w14:textId="77777777">
        <w:trPr>
          <w:trHeight w:val="380"/>
          <w:jc w:val="center"/>
        </w:trPr>
        <w:tc>
          <w:tcPr>
            <w:tcW w:w="1626" w:type="dxa"/>
            <w:vAlign w:val="center"/>
          </w:tcPr>
          <w:p w14:paraId="372B9969"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15</w:t>
            </w:r>
          </w:p>
        </w:tc>
        <w:tc>
          <w:tcPr>
            <w:tcW w:w="2270" w:type="dxa"/>
            <w:vAlign w:val="center"/>
          </w:tcPr>
          <w:p w14:paraId="1EA917F4"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ABD</w:t>
            </w:r>
          </w:p>
        </w:tc>
      </w:tr>
      <w:tr w:rsidR="003D4A4A" w14:paraId="22A61AB6" w14:textId="77777777">
        <w:trPr>
          <w:trHeight w:val="380"/>
          <w:jc w:val="center"/>
        </w:trPr>
        <w:tc>
          <w:tcPr>
            <w:tcW w:w="1626" w:type="dxa"/>
            <w:vAlign w:val="center"/>
          </w:tcPr>
          <w:p w14:paraId="618A4881"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16</w:t>
            </w:r>
          </w:p>
        </w:tc>
        <w:tc>
          <w:tcPr>
            <w:tcW w:w="2270" w:type="dxa"/>
            <w:vAlign w:val="center"/>
          </w:tcPr>
          <w:p w14:paraId="110C5F06" w14:textId="77777777" w:rsidR="003D4A4A" w:rsidRDefault="00000000">
            <w:pPr>
              <w:pBdr>
                <w:top w:val="nil"/>
                <w:left w:val="nil"/>
                <w:bottom w:val="nil"/>
                <w:right w:val="nil"/>
                <w:between w:val="nil"/>
              </w:pBdr>
              <w:spacing w:before="40" w:after="0" w:line="276" w:lineRule="auto"/>
              <w:ind w:firstLine="0"/>
              <w:jc w:val="center"/>
              <w:rPr>
                <w:rFonts w:ascii="Arial" w:eastAsia="Arial" w:hAnsi="Arial" w:cs="Arial"/>
                <w:color w:val="000000"/>
              </w:rPr>
            </w:pPr>
            <w:r>
              <w:rPr>
                <w:rFonts w:ascii="Arial" w:eastAsia="Arial" w:hAnsi="Arial" w:cs="Arial"/>
                <w:color w:val="000000"/>
              </w:rPr>
              <w:t>C</w:t>
            </w:r>
          </w:p>
        </w:tc>
      </w:tr>
    </w:tbl>
    <w:p w14:paraId="595B6E10" w14:textId="77777777" w:rsidR="003D4A4A" w:rsidRDefault="00000000">
      <w:pPr>
        <w:spacing w:before="360"/>
        <w:ind w:firstLine="0"/>
        <w:rPr>
          <w:rFonts w:ascii="Lucida Bright" w:eastAsia="Lucida Bright" w:hAnsi="Lucida Bright" w:cs="Lucida Bright"/>
          <w:b/>
          <w:sz w:val="24"/>
          <w:szCs w:val="24"/>
          <w:u w:val="single"/>
        </w:rPr>
      </w:pPr>
      <w:r>
        <w:br w:type="page"/>
      </w:r>
    </w:p>
    <w:p w14:paraId="239A53A0"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bookmarkStart w:id="0" w:name="_heading=h.gjdgxs" w:colFirst="0" w:colLast="0"/>
      <w:bookmarkEnd w:id="0"/>
      <w:r>
        <w:rPr>
          <w:rFonts w:ascii="Arial" w:eastAsia="Arial" w:hAnsi="Arial" w:cs="Arial"/>
          <w:b/>
          <w:color w:val="000000"/>
          <w:sz w:val="24"/>
          <w:szCs w:val="24"/>
          <w:u w:val="single"/>
        </w:rPr>
        <w:lastRenderedPageBreak/>
        <w:t xml:space="preserve">Question 11 </w:t>
      </w:r>
      <w:r>
        <w:rPr>
          <w:rFonts w:ascii="Arial" w:eastAsia="Arial" w:hAnsi="Arial" w:cs="Arial"/>
          <w:b/>
          <w:color w:val="000000"/>
          <w:sz w:val="24"/>
          <w:szCs w:val="24"/>
        </w:rPr>
        <w:t>: ABDE</w:t>
      </w:r>
    </w:p>
    <w:p w14:paraId="7286E59B"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A propos de l’extraction des acides nucléiques, quelle(s) est(sont) les propositions exactes ?</w:t>
      </w:r>
    </w:p>
    <w:p w14:paraId="3C236C43" w14:textId="77777777" w:rsidR="003D4A4A" w:rsidRDefault="00000000">
      <w:pPr>
        <w:keepLines/>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 xml:space="preserve">ADN et ARN peuvent être extraits par chromatographie d’affinité </w:t>
      </w:r>
    </w:p>
    <w:p w14:paraId="35FD110B" w14:textId="77777777" w:rsidR="003D4A4A" w:rsidRDefault="00000000">
      <w:pPr>
        <w:keepLines/>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 xml:space="preserve">L’extraction des acides nucléiques nécessite une première étape de lyse des cellules </w:t>
      </w:r>
    </w:p>
    <w:p w14:paraId="4883B082" w14:textId="77777777" w:rsidR="003D4A4A" w:rsidRDefault="00000000">
      <w:pPr>
        <w:keepLines/>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ADN et ARN présentent la même solubilité dans le phénol à pH8</w:t>
      </w:r>
    </w:p>
    <w:p w14:paraId="7F173913" w14:textId="77777777" w:rsidR="003D4A4A" w:rsidRDefault="00000000">
      <w:pPr>
        <w:keepLines/>
        <w:numPr>
          <w:ilvl w:val="0"/>
          <w:numId w:val="3"/>
        </w:numPr>
        <w:pBdr>
          <w:top w:val="nil"/>
          <w:left w:val="nil"/>
          <w:bottom w:val="nil"/>
          <w:right w:val="nil"/>
          <w:between w:val="nil"/>
        </w:pBdr>
        <w:spacing w:after="80" w:line="240" w:lineRule="auto"/>
        <w:rPr>
          <w:rFonts w:ascii="Verdana" w:eastAsia="Verdana" w:hAnsi="Verdana" w:cs="Verdana"/>
          <w:color w:val="000000"/>
          <w:sz w:val="19"/>
          <w:szCs w:val="19"/>
        </w:rPr>
      </w:pPr>
      <w:r>
        <w:rPr>
          <w:rFonts w:ascii="Verdana" w:eastAsia="Verdana" w:hAnsi="Verdana" w:cs="Verdana"/>
          <w:color w:val="000000"/>
          <w:sz w:val="19"/>
          <w:szCs w:val="19"/>
        </w:rPr>
        <w:t>ADN et ARN absorbent à 260 nm</w:t>
      </w:r>
    </w:p>
    <w:p w14:paraId="38F5838A" w14:textId="77777777" w:rsidR="003D4A4A" w:rsidRDefault="00000000">
      <w:pPr>
        <w:keepLines/>
        <w:numPr>
          <w:ilvl w:val="0"/>
          <w:numId w:val="3"/>
        </w:numPr>
        <w:pBdr>
          <w:top w:val="nil"/>
          <w:left w:val="nil"/>
          <w:bottom w:val="nil"/>
          <w:right w:val="nil"/>
          <w:between w:val="nil"/>
        </w:pBdr>
        <w:spacing w:after="80" w:line="240" w:lineRule="auto"/>
      </w:pPr>
      <w:r>
        <w:rPr>
          <w:rFonts w:ascii="Verdana" w:eastAsia="Verdana" w:hAnsi="Verdana" w:cs="Verdana"/>
          <w:color w:val="000000"/>
          <w:sz w:val="19"/>
          <w:szCs w:val="19"/>
        </w:rPr>
        <w:t>L’extraction d’ARN nécessite une étape de traitement par la DNAse</w:t>
      </w:r>
    </w:p>
    <w:p w14:paraId="3DC425DE"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D’ailleurs, dans les grosses plateformes, on utilise des robots avec des colonnes d’affinité qui permettent d’extraire les acides nucléiques par chromatographie d’affinité de douze patients à la fois. </w:t>
      </w:r>
    </w:p>
    <w:p w14:paraId="28ED7C3C"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Pour extraire de l’ADN ou de l’ARN, il y a plusieurs étapes. La première étant bien la </w:t>
      </w:r>
      <w:r>
        <w:rPr>
          <w:rFonts w:ascii="Verdana" w:eastAsia="Verdana" w:hAnsi="Verdana" w:cs="Verdana"/>
          <w:b/>
          <w:color w:val="000000"/>
          <w:sz w:val="20"/>
          <w:szCs w:val="20"/>
        </w:rPr>
        <w:t>lyse</w:t>
      </w:r>
      <w:r>
        <w:rPr>
          <w:rFonts w:ascii="Verdana" w:eastAsia="Verdana" w:hAnsi="Verdana" w:cs="Verdana"/>
          <w:color w:val="000000"/>
          <w:sz w:val="20"/>
          <w:szCs w:val="20"/>
        </w:rPr>
        <w:t xml:space="preserve"> des cellules, ce qui permet d’extraire le matériel génétique du noyau. Ensuite, il faut </w:t>
      </w:r>
      <w:r>
        <w:rPr>
          <w:rFonts w:ascii="Verdana" w:eastAsia="Verdana" w:hAnsi="Verdana" w:cs="Verdana"/>
          <w:b/>
          <w:color w:val="000000"/>
          <w:sz w:val="20"/>
          <w:szCs w:val="20"/>
        </w:rPr>
        <w:t>séparer</w:t>
      </w:r>
      <w:r>
        <w:rPr>
          <w:rFonts w:ascii="Verdana" w:eastAsia="Verdana" w:hAnsi="Verdana" w:cs="Verdana"/>
          <w:color w:val="000000"/>
          <w:sz w:val="20"/>
          <w:szCs w:val="20"/>
        </w:rPr>
        <w:t xml:space="preserve"> l’ADN des protéines et des autres constituants cellulaires par solubilisation ou affinité. Puis </w:t>
      </w:r>
      <w:r>
        <w:rPr>
          <w:rFonts w:ascii="Verdana" w:eastAsia="Verdana" w:hAnsi="Verdana" w:cs="Verdana"/>
          <w:b/>
          <w:color w:val="000000"/>
          <w:sz w:val="20"/>
          <w:szCs w:val="20"/>
        </w:rPr>
        <w:t>laver</w:t>
      </w:r>
      <w:r>
        <w:rPr>
          <w:rFonts w:ascii="Verdana" w:eastAsia="Verdana" w:hAnsi="Verdana" w:cs="Verdana"/>
          <w:color w:val="000000"/>
          <w:sz w:val="20"/>
          <w:szCs w:val="20"/>
        </w:rPr>
        <w:t xml:space="preserve">. Enfin, l’ADN est </w:t>
      </w:r>
      <w:r>
        <w:rPr>
          <w:rFonts w:ascii="Verdana" w:eastAsia="Verdana" w:hAnsi="Verdana" w:cs="Verdana"/>
          <w:b/>
          <w:color w:val="000000"/>
          <w:sz w:val="20"/>
          <w:szCs w:val="20"/>
        </w:rPr>
        <w:t>élué</w:t>
      </w:r>
      <w:r>
        <w:rPr>
          <w:rFonts w:ascii="Verdana" w:eastAsia="Verdana" w:hAnsi="Verdana" w:cs="Verdana"/>
          <w:color w:val="000000"/>
          <w:sz w:val="20"/>
          <w:szCs w:val="20"/>
        </w:rPr>
        <w:t xml:space="preserve"> pour avoir des acides nucléiques purs et enrichis. </w:t>
      </w:r>
    </w:p>
    <w:p w14:paraId="39C3C152" w14:textId="269EE07B"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w:t>
      </w:r>
      <w:r w:rsidR="008C3BC8">
        <w:rPr>
          <w:rFonts w:ascii="Verdana" w:eastAsia="Verdana" w:hAnsi="Verdana" w:cs="Verdana"/>
          <w:color w:val="000000"/>
          <w:sz w:val="20"/>
          <w:szCs w:val="20"/>
        </w:rPr>
        <w:t xml:space="preserve">A pH8, les ARN se dégradent très rapidement contrairement à l’ADN. </w:t>
      </w:r>
      <w:r>
        <w:rPr>
          <w:rFonts w:ascii="Verdana" w:eastAsia="Verdana" w:hAnsi="Verdana" w:cs="Verdana"/>
          <w:color w:val="000000"/>
          <w:sz w:val="20"/>
          <w:szCs w:val="20"/>
        </w:rPr>
        <w:t>Pour l’extraction de l’ADN, on utilise du phénol à pH8, pour l’ARN en revanche on utilise du phénol à pH4</w:t>
      </w:r>
    </w:p>
    <w:p w14:paraId="25DC311F"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Les acides nucléiques absorbent à </w:t>
      </w:r>
      <w:r>
        <w:rPr>
          <w:rFonts w:ascii="Verdana" w:eastAsia="Verdana" w:hAnsi="Verdana" w:cs="Verdana"/>
          <w:b/>
          <w:color w:val="000000"/>
          <w:sz w:val="20"/>
          <w:szCs w:val="20"/>
        </w:rPr>
        <w:t>260nm</w:t>
      </w:r>
      <w:r>
        <w:rPr>
          <w:rFonts w:ascii="Verdana" w:eastAsia="Verdana" w:hAnsi="Verdana" w:cs="Verdana"/>
          <w:color w:val="000000"/>
          <w:sz w:val="20"/>
          <w:szCs w:val="20"/>
        </w:rPr>
        <w:t xml:space="preserve"> et les protéines absorbent à </w:t>
      </w:r>
      <w:r>
        <w:rPr>
          <w:rFonts w:ascii="Verdana" w:eastAsia="Verdana" w:hAnsi="Verdana" w:cs="Verdana"/>
          <w:b/>
          <w:color w:val="000000"/>
          <w:sz w:val="20"/>
          <w:szCs w:val="20"/>
        </w:rPr>
        <w:t>280nm</w:t>
      </w:r>
      <w:r>
        <w:rPr>
          <w:rFonts w:ascii="Verdana" w:eastAsia="Verdana" w:hAnsi="Verdana" w:cs="Verdana"/>
          <w:color w:val="000000"/>
          <w:sz w:val="20"/>
          <w:szCs w:val="20"/>
        </w:rPr>
        <w:t xml:space="preserve">. </w:t>
      </w:r>
    </w:p>
    <w:p w14:paraId="0B552CEF"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On traite par DNAse lorsque l’on veut extraire l’ARN et donc éliminer l’ADN. A l’inverse, si on veut extraire l’ADN, on traire par RNAse pour éliminer l’ARN. </w:t>
      </w:r>
    </w:p>
    <w:p w14:paraId="5DA988EA"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t xml:space="preserve">Question 12 </w:t>
      </w:r>
      <w:r>
        <w:rPr>
          <w:rFonts w:ascii="Arial" w:eastAsia="Arial" w:hAnsi="Arial" w:cs="Arial"/>
          <w:b/>
          <w:color w:val="000000"/>
          <w:sz w:val="24"/>
          <w:szCs w:val="24"/>
        </w:rPr>
        <w:t>: ADE</w:t>
      </w:r>
    </w:p>
    <w:p w14:paraId="4BF66CC6"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Vous génotypez la position c.719 du gène TPMT chez des patients atteints d’une maladie de Crohn avant d’introduire l’azathioprine. L’allèle sauvage est c.719A. L’allèle c.719G est associé à une moins </w:t>
      </w:r>
      <w:r>
        <w:rPr>
          <w:rFonts w:ascii="Tahoma" w:eastAsia="Tahoma" w:hAnsi="Tahoma" w:cs="Tahoma"/>
          <w:color w:val="000000"/>
          <w:sz w:val="21"/>
          <w:szCs w:val="21"/>
        </w:rPr>
        <w:lastRenderedPageBreak/>
        <w:t>bonne élimination du médicament et à un risque de toxicité médullaire. Voici les résultats que vous obtenez :</w:t>
      </w:r>
    </w:p>
    <w:p w14:paraId="47B7B3C2" w14:textId="77777777" w:rsidR="003D4A4A" w:rsidRDefault="00000000">
      <w:pPr>
        <w:keepNext/>
        <w:pBdr>
          <w:top w:val="nil"/>
          <w:left w:val="nil"/>
          <w:bottom w:val="nil"/>
          <w:right w:val="nil"/>
          <w:between w:val="nil"/>
        </w:pBdr>
        <w:ind w:firstLine="0"/>
        <w:rPr>
          <w:rFonts w:ascii="Lucida Bright" w:eastAsia="Lucida Bright" w:hAnsi="Lucida Bright" w:cs="Lucida Bright"/>
          <w:b/>
          <w:color w:val="000000"/>
          <w:sz w:val="24"/>
          <w:szCs w:val="24"/>
        </w:rPr>
      </w:pPr>
      <w:r>
        <w:rPr>
          <w:rFonts w:ascii="Tahoma" w:eastAsia="Tahoma" w:hAnsi="Tahoma" w:cs="Tahoma"/>
          <w:noProof/>
          <w:color w:val="000000"/>
          <w:sz w:val="21"/>
          <w:szCs w:val="21"/>
        </w:rPr>
        <w:drawing>
          <wp:inline distT="0" distB="0" distL="0" distR="0" wp14:anchorId="765F04B7" wp14:editId="3644CE2E">
            <wp:extent cx="4333875" cy="3705225"/>
            <wp:effectExtent l="0" t="0" r="0" b="0"/>
            <wp:docPr id="14" name="image5.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 scatter chart&#10;&#10;Description automatically generated"/>
                    <pic:cNvPicPr preferRelativeResize="0"/>
                  </pic:nvPicPr>
                  <pic:blipFill>
                    <a:blip r:embed="rId10"/>
                    <a:srcRect/>
                    <a:stretch>
                      <a:fillRect/>
                    </a:stretch>
                  </pic:blipFill>
                  <pic:spPr>
                    <a:xfrm>
                      <a:off x="0" y="0"/>
                      <a:ext cx="4333875" cy="3705225"/>
                    </a:xfrm>
                    <a:prstGeom prst="rect">
                      <a:avLst/>
                    </a:prstGeom>
                    <a:ln/>
                  </pic:spPr>
                </pic:pic>
              </a:graphicData>
            </a:graphic>
          </wp:inline>
        </w:drawing>
      </w:r>
    </w:p>
    <w:p w14:paraId="6D77EC6B" w14:textId="77777777" w:rsidR="003D4A4A" w:rsidRDefault="00000000">
      <w:pPr>
        <w:keepNext/>
        <w:pBdr>
          <w:top w:val="nil"/>
          <w:left w:val="nil"/>
          <w:bottom w:val="nil"/>
          <w:right w:val="nil"/>
          <w:between w:val="nil"/>
        </w:pBdr>
        <w:ind w:firstLine="0"/>
        <w:rPr>
          <w:rFonts w:ascii="Lucida Bright" w:eastAsia="Lucida Bright" w:hAnsi="Lucida Bright" w:cs="Lucida Bright"/>
          <w:b/>
          <w:color w:val="000000"/>
          <w:sz w:val="24"/>
          <w:szCs w:val="24"/>
        </w:rPr>
      </w:pPr>
      <w:r>
        <w:rPr>
          <w:rFonts w:ascii="Tahoma" w:eastAsia="Tahoma" w:hAnsi="Tahoma" w:cs="Tahoma"/>
          <w:color w:val="000000"/>
          <w:sz w:val="21"/>
          <w:szCs w:val="21"/>
        </w:rPr>
        <w:t>Parmi les propositions suivantes, laquelle(lesquelles) est(sont) exactes ?</w:t>
      </w:r>
    </w:p>
    <w:p w14:paraId="2CB5C7FF" w14:textId="75F1B2E4" w:rsidR="003D4A4A" w:rsidRDefault="00000000">
      <w:pPr>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Vous utilisez 2 sondes fluorescentes, chacune étant spécifique d’un allèle.</w:t>
      </w:r>
    </w:p>
    <w:p w14:paraId="54C656AE" w14:textId="77777777" w:rsidR="003D4A4A" w:rsidRDefault="00000000">
      <w:pPr>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Vous séquencez les produits de PCR obtenus.</w:t>
      </w:r>
    </w:p>
    <w:p w14:paraId="57F83145" w14:textId="77777777" w:rsidR="003D4A4A" w:rsidRDefault="00000000">
      <w:pPr>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Les patients du groupe 1 peuvent être traités par l’azathioprine.</w:t>
      </w:r>
    </w:p>
    <w:p w14:paraId="6786F8A9" w14:textId="77777777" w:rsidR="003D4A4A" w:rsidRDefault="00000000">
      <w:pPr>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Il faudra réduire la dose d’azathioprine chez les patients du groupe 2.</w:t>
      </w:r>
    </w:p>
    <w:p w14:paraId="3FFE4802" w14:textId="77777777" w:rsidR="003D4A4A" w:rsidRDefault="00000000">
      <w:pPr>
        <w:keepLines/>
        <w:numPr>
          <w:ilvl w:val="0"/>
          <w:numId w:val="4"/>
        </w:numPr>
        <w:pBdr>
          <w:top w:val="nil"/>
          <w:left w:val="nil"/>
          <w:bottom w:val="nil"/>
          <w:right w:val="nil"/>
          <w:between w:val="nil"/>
        </w:pBdr>
        <w:spacing w:after="80" w:line="240" w:lineRule="auto"/>
      </w:pPr>
      <w:r>
        <w:rPr>
          <w:rFonts w:ascii="Verdana" w:eastAsia="Verdana" w:hAnsi="Verdana" w:cs="Verdana"/>
          <w:color w:val="000000"/>
          <w:sz w:val="19"/>
          <w:szCs w:val="19"/>
        </w:rPr>
        <w:t>Les patients du groupe 3 présentent le génotype le plus fréquent dans la population générale.</w:t>
      </w:r>
    </w:p>
    <w:p w14:paraId="191D3BB0" w14:textId="0619813D" w:rsidR="003D4A4A" w:rsidRDefault="00000000">
      <w:pPr>
        <w:keepNext/>
        <w:pBdr>
          <w:top w:val="nil"/>
          <w:left w:val="nil"/>
          <w:bottom w:val="nil"/>
          <w:right w:val="nil"/>
          <w:between w:val="nil"/>
        </w:pBdr>
        <w:spacing w:before="160"/>
        <w:ind w:firstLine="357"/>
        <w:rPr>
          <w:rFonts w:ascii="Verdana" w:eastAsia="Verdana" w:hAnsi="Verdana" w:cs="Verdana"/>
          <w:color w:val="000000"/>
          <w:sz w:val="20"/>
          <w:szCs w:val="20"/>
        </w:rPr>
      </w:pPr>
      <w:r>
        <w:rPr>
          <w:rFonts w:ascii="Verdana" w:eastAsia="Verdana" w:hAnsi="Verdana" w:cs="Verdana"/>
          <w:color w:val="000000"/>
          <w:sz w:val="20"/>
          <w:szCs w:val="20"/>
        </w:rPr>
        <w:t xml:space="preserve">La méthode utilisée est une PCR avec sondes fluorescentes. </w:t>
      </w:r>
      <w:r>
        <w:rPr>
          <w:rFonts w:ascii="Verdana" w:eastAsia="Verdana" w:hAnsi="Verdana" w:cs="Verdana"/>
          <w:color w:val="000000"/>
          <w:sz w:val="20"/>
          <w:szCs w:val="20"/>
          <w:u w:val="single"/>
        </w:rPr>
        <w:t>Rappel</w:t>
      </w:r>
      <w:r>
        <w:rPr>
          <w:rFonts w:ascii="Verdana" w:eastAsia="Verdana" w:hAnsi="Verdana" w:cs="Verdana"/>
          <w:color w:val="000000"/>
          <w:sz w:val="20"/>
          <w:szCs w:val="20"/>
        </w:rPr>
        <w:t> : C’est une méthode qui allie la PCR avec une ou plusieurs sondes spécifiques fluorescentes</w:t>
      </w:r>
      <w:r w:rsidR="00417D1B">
        <w:rPr>
          <w:rFonts w:ascii="Verdana" w:eastAsia="Verdana" w:hAnsi="Verdana" w:cs="Verdana"/>
          <w:color w:val="000000"/>
          <w:sz w:val="20"/>
          <w:szCs w:val="20"/>
        </w:rPr>
        <w:t xml:space="preserve"> (Taqman)</w:t>
      </w:r>
      <w:r>
        <w:rPr>
          <w:rFonts w:ascii="Verdana" w:eastAsia="Verdana" w:hAnsi="Verdana" w:cs="Verdana"/>
          <w:color w:val="000000"/>
          <w:sz w:val="20"/>
          <w:szCs w:val="20"/>
        </w:rPr>
        <w:t xml:space="preserve">. On réalise une PCR de la région d’intérêt, on ajoute une sonde spécifique de la séquence mutée et une sonde reconnaissant la séquence sauvage ; on regarde ensuite la fluorescence qui nous indique s’il y a une mutation (fluorescence 1) ou non (fluorescence 2). Ici, l’allèle G est l’allèle muté (présentant une moins bonne élimination du médicament) et l’allèle A est l’allèle sain/sauvage. Le groupe 1 regroupe des patients qui présentent une domination de l’allèle G : ils sont homozygotes porteurs de l’allèle G. Le groupe 3 est homozygote porteur </w:t>
      </w:r>
      <w:r>
        <w:rPr>
          <w:rFonts w:ascii="Verdana" w:eastAsia="Verdana" w:hAnsi="Verdana" w:cs="Verdana"/>
          <w:color w:val="000000"/>
          <w:sz w:val="20"/>
          <w:szCs w:val="20"/>
        </w:rPr>
        <w:lastRenderedPageBreak/>
        <w:t>de l’allèle A. Le groupe 2 se situant au milieu, on peut déduire qu’il est composé de patients hétérozygotes porteurs des 2 allèles à la fois.</w:t>
      </w:r>
    </w:p>
    <w:p w14:paraId="118782F1"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La première sonde fluorescente permettra de révéler la présence de l’allèle A et la seconde, de révéler l’allèle G.</w:t>
      </w:r>
    </w:p>
    <w:p w14:paraId="16B70D47"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B FAUX</w:t>
      </w:r>
      <w:r>
        <w:rPr>
          <w:rFonts w:ascii="Verdana" w:eastAsia="Verdana" w:hAnsi="Verdana" w:cs="Verdana"/>
          <w:color w:val="000000"/>
          <w:sz w:val="20"/>
          <w:szCs w:val="20"/>
        </w:rPr>
        <w:t xml:space="preserve"> Ici on n’utilise pas de séquençage, on ne séquence pas nucléotides par nucléotides.  On détecte des fragments d’ADN, des séquences. On met dans le mélange deux sondes qui se fixent au milieu de l’amplicon, au niveau de la potentielle mutation.</w:t>
      </w:r>
    </w:p>
    <w:p w14:paraId="07851957"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Les </w:t>
      </w:r>
      <w:r>
        <w:rPr>
          <w:rFonts w:ascii="Verdana" w:eastAsia="Verdana" w:hAnsi="Verdana" w:cs="Verdana"/>
          <w:sz w:val="20"/>
          <w:szCs w:val="20"/>
        </w:rPr>
        <w:t>patients</w:t>
      </w:r>
      <w:r>
        <w:rPr>
          <w:rFonts w:ascii="Verdana" w:eastAsia="Verdana" w:hAnsi="Verdana" w:cs="Verdana"/>
          <w:color w:val="000000"/>
          <w:sz w:val="20"/>
          <w:szCs w:val="20"/>
        </w:rPr>
        <w:t xml:space="preserve"> du groupe 1 sont homozygotes porteurs de l’allèle G sur leurs 2 chromosomes. Ils sont donc porteurs de l’allèle muté et sont donc sujets à une moins bonne élimination du médicament et à un risque de toxicité médullaire. Il ne faut surtout pas leur donner d’azathioprine car ils seront sujet à une toxicité majeure.</w:t>
      </w:r>
    </w:p>
    <w:p w14:paraId="1829C918"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Les </w:t>
      </w:r>
      <w:r>
        <w:rPr>
          <w:rFonts w:ascii="Verdana" w:eastAsia="Verdana" w:hAnsi="Verdana" w:cs="Verdana"/>
          <w:sz w:val="20"/>
          <w:szCs w:val="20"/>
        </w:rPr>
        <w:t>patients</w:t>
      </w:r>
      <w:r>
        <w:rPr>
          <w:rFonts w:ascii="Verdana" w:eastAsia="Verdana" w:hAnsi="Verdana" w:cs="Verdana"/>
          <w:color w:val="000000"/>
          <w:sz w:val="20"/>
          <w:szCs w:val="20"/>
        </w:rPr>
        <w:t xml:space="preserve"> du groupe 1 sont hétérozygotes mais sont quand même porteurs de l’allèle G. Ils sont donc porteurs de l’allèle muté et sont donc sujets à une moins bonne élimination du médicament et à un risque de toxicité médullaire. Il faudra donc diminuer la dose pour éviter l’accumulation du médicament.</w:t>
      </w:r>
    </w:p>
    <w:p w14:paraId="161450D3"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En effet chez 89% des patients, l’activité de l’azathioprine est normale (chapitre </w:t>
      </w:r>
      <w:r>
        <w:rPr>
          <w:rFonts w:ascii="Verdana" w:eastAsia="Verdana" w:hAnsi="Verdana" w:cs="Verdana"/>
          <w:i/>
          <w:color w:val="000000"/>
          <w:sz w:val="20"/>
          <w:szCs w:val="20"/>
        </w:rPr>
        <w:t>Applications de la biologie moléculaire</w:t>
      </w:r>
      <w:r>
        <w:rPr>
          <w:rFonts w:ascii="Verdana" w:eastAsia="Verdana" w:hAnsi="Verdana" w:cs="Verdana"/>
          <w:color w:val="000000"/>
          <w:sz w:val="20"/>
          <w:szCs w:val="20"/>
        </w:rPr>
        <w:t xml:space="preserve">). On pouvait aussi se dire que les patients du groupe 1 portent l’allèle A, qui est l’allèle sauvage et est donc le plus souvent l’allèle retrouvé en majorité </w:t>
      </w:r>
    </w:p>
    <w:p w14:paraId="246D5D7C"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u w:val="single"/>
        </w:rPr>
      </w:pPr>
      <w:r>
        <w:rPr>
          <w:rFonts w:ascii="Arial" w:eastAsia="Arial" w:hAnsi="Arial" w:cs="Arial"/>
          <w:b/>
          <w:color w:val="000000"/>
          <w:sz w:val="24"/>
          <w:szCs w:val="24"/>
          <w:u w:val="single"/>
        </w:rPr>
        <w:t xml:space="preserve">Question 13 </w:t>
      </w:r>
      <w:r>
        <w:rPr>
          <w:rFonts w:ascii="Arial" w:eastAsia="Arial" w:hAnsi="Arial" w:cs="Arial"/>
          <w:b/>
          <w:color w:val="000000"/>
          <w:sz w:val="24"/>
          <w:szCs w:val="24"/>
        </w:rPr>
        <w:t>: DE</w:t>
      </w:r>
    </w:p>
    <w:p w14:paraId="12A825AE"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S’agissant de la technique de FISH, quelle (s) est (sont) la (les) proposition(s) exacte(s) ?</w:t>
      </w:r>
    </w:p>
    <w:p w14:paraId="57BA5090" w14:textId="77777777" w:rsidR="003D4A4A" w:rsidRDefault="00000000">
      <w:pPr>
        <w:keepLines/>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Elle permet une étude globale du génome.</w:t>
      </w:r>
    </w:p>
    <w:p w14:paraId="21B181AD" w14:textId="77777777" w:rsidR="003D4A4A" w:rsidRDefault="00000000">
      <w:pPr>
        <w:keepLines/>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 xml:space="preserve">Elle est utilisée pour la détection de variants nucléotidiques. </w:t>
      </w:r>
    </w:p>
    <w:p w14:paraId="31C889C3" w14:textId="77777777" w:rsidR="003D4A4A" w:rsidRDefault="00000000">
      <w:pPr>
        <w:keepLines/>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Elle repose sur un immuno-marquage « </w:t>
      </w:r>
      <w:r>
        <w:rPr>
          <w:rFonts w:ascii="Verdana" w:eastAsia="Verdana" w:hAnsi="Verdana" w:cs="Verdana"/>
          <w:i/>
          <w:color w:val="000000"/>
          <w:sz w:val="19"/>
          <w:szCs w:val="19"/>
        </w:rPr>
        <w:t>immuno-staining</w:t>
      </w:r>
      <w:r>
        <w:rPr>
          <w:rFonts w:ascii="Verdana" w:eastAsia="Verdana" w:hAnsi="Verdana" w:cs="Verdana"/>
          <w:color w:val="000000"/>
          <w:sz w:val="19"/>
          <w:szCs w:val="19"/>
        </w:rPr>
        <w:t> ».</w:t>
      </w:r>
    </w:p>
    <w:p w14:paraId="7559D55A" w14:textId="77777777" w:rsidR="003D4A4A" w:rsidRDefault="00000000">
      <w:pPr>
        <w:keepLines/>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Elle peut être réalisée sur noyaux interphasiques.</w:t>
      </w:r>
    </w:p>
    <w:p w14:paraId="125AE3E5" w14:textId="77777777" w:rsidR="003D4A4A" w:rsidRDefault="00000000">
      <w:pPr>
        <w:keepLines/>
        <w:numPr>
          <w:ilvl w:val="0"/>
          <w:numId w:val="1"/>
        </w:numPr>
        <w:pBdr>
          <w:top w:val="nil"/>
          <w:left w:val="nil"/>
          <w:bottom w:val="nil"/>
          <w:right w:val="nil"/>
          <w:between w:val="nil"/>
        </w:pBdr>
        <w:spacing w:after="80" w:line="240" w:lineRule="auto"/>
      </w:pPr>
      <w:r>
        <w:rPr>
          <w:rFonts w:ascii="Verdana" w:eastAsia="Verdana" w:hAnsi="Verdana" w:cs="Verdana"/>
          <w:color w:val="000000"/>
          <w:sz w:val="19"/>
          <w:szCs w:val="19"/>
        </w:rPr>
        <w:t>Elle nécessite une sonde fluorescente.</w:t>
      </w:r>
    </w:p>
    <w:p w14:paraId="43E587F5" w14:textId="77777777" w:rsidR="003D4A4A" w:rsidRDefault="00000000">
      <w:pPr>
        <w:keepNext/>
        <w:pBdr>
          <w:top w:val="nil"/>
          <w:left w:val="nil"/>
          <w:bottom w:val="nil"/>
          <w:right w:val="nil"/>
          <w:between w:val="nil"/>
        </w:pBdr>
        <w:spacing w:before="160"/>
        <w:ind w:firstLine="357"/>
        <w:rPr>
          <w:rFonts w:ascii="Verdana" w:eastAsia="Verdana" w:hAnsi="Verdana" w:cs="Verdana"/>
          <w:color w:val="000000"/>
          <w:sz w:val="20"/>
          <w:szCs w:val="20"/>
        </w:rPr>
      </w:pPr>
      <w:r>
        <w:rPr>
          <w:rFonts w:ascii="Verdana" w:eastAsia="Verdana" w:hAnsi="Verdana" w:cs="Verdana"/>
          <w:color w:val="000000"/>
          <w:sz w:val="20"/>
          <w:szCs w:val="20"/>
          <w:u w:val="single"/>
        </w:rPr>
        <w:t>Rappel</w:t>
      </w:r>
      <w:r>
        <w:rPr>
          <w:rFonts w:ascii="Verdana" w:eastAsia="Verdana" w:hAnsi="Verdana" w:cs="Verdana"/>
          <w:color w:val="000000"/>
          <w:sz w:val="20"/>
          <w:szCs w:val="20"/>
        </w:rPr>
        <w:t xml:space="preserve"> : Cette technique est basée sur l’hybridation in situ par fluorescence. Elle est composée de 5 étapes :  la dénaturation de l’ADN, l’hybridation avec une sonde marquée, le lavage, la révélation et la lecture par fluorescence. </w:t>
      </w:r>
    </w:p>
    <w:p w14:paraId="579D8B95"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Elle permet d’étudier des mutations dont la taille peut être d’environ 150 kb (selon la taille de la sonde fluorescente) ou alors une grande partie d’un chromosome voire toute </w:t>
      </w:r>
      <w:r>
        <w:rPr>
          <w:rFonts w:ascii="Verdana" w:eastAsia="Verdana" w:hAnsi="Verdana" w:cs="Verdana"/>
          <w:color w:val="000000"/>
          <w:sz w:val="20"/>
          <w:szCs w:val="20"/>
        </w:rPr>
        <w:lastRenderedPageBreak/>
        <w:t>une paire de chromosome (en utilisant une sonde « en peinture »). Mais la FISH ne permet pas une étude globale du génome.</w:t>
      </w:r>
    </w:p>
    <w:p w14:paraId="5200BB34"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B FAUX</w:t>
      </w:r>
      <w:r>
        <w:rPr>
          <w:rFonts w:ascii="Verdana" w:eastAsia="Verdana" w:hAnsi="Verdana" w:cs="Verdana"/>
          <w:color w:val="000000"/>
          <w:sz w:val="20"/>
          <w:szCs w:val="20"/>
        </w:rPr>
        <w:t xml:space="preserve"> La résolution de la FISH est entre 150 et 200 kb donc elle ne détecte pas les mutations d’un nucléotide.</w:t>
      </w:r>
    </w:p>
    <w:p w14:paraId="011A9F33"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L’immuno- marquage est une technique où la détection se fait par un anticorps marqué. Or, la FISH ne fait pas intervenir des anticorps mais des sondes, des séquences nucléotidiques.</w:t>
      </w:r>
    </w:p>
    <w:p w14:paraId="755A0AD1"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Les noyaux doivent être en interphase, contrairement au caryotype où les cellules doivent être en métaphase.</w:t>
      </w:r>
    </w:p>
    <w:p w14:paraId="1A5DE2F9"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E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Cette sonde est une séquence nucléotidique capable de </w:t>
      </w:r>
      <w:r>
        <w:rPr>
          <w:rFonts w:ascii="Verdana" w:eastAsia="Verdana" w:hAnsi="Verdana" w:cs="Verdana"/>
          <w:sz w:val="20"/>
          <w:szCs w:val="20"/>
        </w:rPr>
        <w:t>reconnaître</w:t>
      </w:r>
      <w:r>
        <w:rPr>
          <w:rFonts w:ascii="Verdana" w:eastAsia="Verdana" w:hAnsi="Verdana" w:cs="Verdana"/>
          <w:color w:val="000000"/>
          <w:sz w:val="20"/>
          <w:szCs w:val="20"/>
        </w:rPr>
        <w:t xml:space="preserve"> une séquence du génome par complémentarité, elle émettra une lumière sous l’influence d’une irradiation afin de voir si la séquence de l’ADN est mutée ou non.</w:t>
      </w:r>
    </w:p>
    <w:p w14:paraId="1ED930D1"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rPr>
      </w:pPr>
      <w:r>
        <w:rPr>
          <w:rFonts w:ascii="Arial" w:eastAsia="Arial" w:hAnsi="Arial" w:cs="Arial"/>
          <w:b/>
          <w:color w:val="000000"/>
          <w:sz w:val="24"/>
          <w:szCs w:val="24"/>
          <w:u w:val="single"/>
        </w:rPr>
        <w:t xml:space="preserve">Question 14 </w:t>
      </w:r>
      <w:r>
        <w:rPr>
          <w:rFonts w:ascii="Arial" w:eastAsia="Arial" w:hAnsi="Arial" w:cs="Arial"/>
          <w:b/>
          <w:color w:val="000000"/>
          <w:sz w:val="24"/>
          <w:szCs w:val="24"/>
        </w:rPr>
        <w:t>: AB</w:t>
      </w:r>
    </w:p>
    <w:p w14:paraId="0D328AE9"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Plusieurs membres d’une famille présentent des anomalies musculaires (arbre ci-dessous). </w:t>
      </w:r>
    </w:p>
    <w:p w14:paraId="6707BCF9"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Vous réalisez l’analyse d’un panel de gènes impliqués dans ce type de pathologie par séquençage haut débit chez l’individu IV-1 et retrouvez une mutation faux-sens de signification incertaine. </w:t>
      </w:r>
    </w:p>
    <w:p w14:paraId="2EE97C5E" w14:textId="77777777" w:rsidR="003D4A4A" w:rsidRDefault="00000000">
      <w:pPr>
        <w:keepNext/>
        <w:pBdr>
          <w:top w:val="nil"/>
          <w:left w:val="nil"/>
          <w:bottom w:val="nil"/>
          <w:right w:val="nil"/>
          <w:between w:val="nil"/>
        </w:pBdr>
        <w:ind w:firstLine="0"/>
        <w:jc w:val="center"/>
        <w:rPr>
          <w:rFonts w:ascii="Tahoma" w:eastAsia="Tahoma" w:hAnsi="Tahoma" w:cs="Tahoma"/>
          <w:color w:val="000000"/>
          <w:sz w:val="21"/>
          <w:szCs w:val="21"/>
        </w:rPr>
      </w:pPr>
      <w:r>
        <w:rPr>
          <w:rFonts w:ascii="Tahoma" w:eastAsia="Tahoma" w:hAnsi="Tahoma" w:cs="Tahoma"/>
          <w:noProof/>
          <w:color w:val="000000"/>
          <w:sz w:val="21"/>
          <w:szCs w:val="21"/>
        </w:rPr>
        <w:drawing>
          <wp:inline distT="0" distB="0" distL="0" distR="0" wp14:anchorId="08A68245" wp14:editId="76E05672">
            <wp:extent cx="5257800" cy="249555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57800" cy="2495550"/>
                    </a:xfrm>
                    <a:prstGeom prst="rect">
                      <a:avLst/>
                    </a:prstGeom>
                    <a:ln/>
                  </pic:spPr>
                </pic:pic>
              </a:graphicData>
            </a:graphic>
          </wp:inline>
        </w:drawing>
      </w:r>
    </w:p>
    <w:p w14:paraId="4E54E8CE"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Parmi les propositions suivantes, laquelle(lesquelles) est(sont) exactes ?</w:t>
      </w:r>
    </w:p>
    <w:p w14:paraId="2A740BB1" w14:textId="77777777" w:rsidR="003D4A4A" w:rsidRDefault="00000000">
      <w:pPr>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La mutation est identifiée par comparaison à un génome de référence humain.</w:t>
      </w:r>
    </w:p>
    <w:p w14:paraId="40F14B82" w14:textId="77777777" w:rsidR="003D4A4A" w:rsidRDefault="00000000">
      <w:pPr>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La mutation est vérifiée par une seconde technique, classiquement du Sanger.</w:t>
      </w:r>
    </w:p>
    <w:p w14:paraId="03EA9BA3" w14:textId="77777777" w:rsidR="003D4A4A" w:rsidRDefault="00000000">
      <w:pPr>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L’ensemble de l’ADN de l’individu IV-1 a été séquencé.</w:t>
      </w:r>
    </w:p>
    <w:p w14:paraId="5A6174C9" w14:textId="77777777" w:rsidR="003D4A4A" w:rsidRDefault="00000000">
      <w:pPr>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Lors du séquençage de l’ADN de l’individu IV-1 par séquençage haut débit , les nucléotides marqués sont des ‘terminateurs’ irréversibles.</w:t>
      </w:r>
    </w:p>
    <w:p w14:paraId="67CA222D" w14:textId="77777777" w:rsidR="003D4A4A" w:rsidRDefault="00000000">
      <w:pPr>
        <w:keepLines/>
        <w:numPr>
          <w:ilvl w:val="0"/>
          <w:numId w:val="6"/>
        </w:numPr>
        <w:pBdr>
          <w:top w:val="nil"/>
          <w:left w:val="nil"/>
          <w:bottom w:val="nil"/>
          <w:right w:val="nil"/>
          <w:between w:val="nil"/>
        </w:pBdr>
        <w:spacing w:after="80" w:line="240" w:lineRule="auto"/>
      </w:pPr>
      <w:r>
        <w:rPr>
          <w:rFonts w:ascii="Verdana" w:eastAsia="Verdana" w:hAnsi="Verdana" w:cs="Verdana"/>
          <w:color w:val="000000"/>
          <w:sz w:val="19"/>
          <w:szCs w:val="19"/>
        </w:rPr>
        <w:t>La mutation est probablement pathogène.</w:t>
      </w:r>
    </w:p>
    <w:p w14:paraId="508E0C69"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A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Il est important de comprendre que personne ne possède le génome de référence. C’est une association de l’ensemble des séquençages ayant été réalisés, et étant réalisés </w:t>
      </w:r>
      <w:r>
        <w:rPr>
          <w:rFonts w:ascii="Verdana" w:eastAsia="Verdana" w:hAnsi="Verdana" w:cs="Verdana"/>
          <w:color w:val="000000"/>
          <w:sz w:val="20"/>
          <w:szCs w:val="20"/>
        </w:rPr>
        <w:lastRenderedPageBreak/>
        <w:t xml:space="preserve">au quotidien. Il correspond donc à l’allèle le plus fréquent pour chaque gène. Aussi, les fréquences des variants sont différentes en </w:t>
      </w:r>
      <w:r>
        <w:rPr>
          <w:rFonts w:ascii="Verdana" w:eastAsia="Verdana" w:hAnsi="Verdana" w:cs="Verdana"/>
          <w:sz w:val="20"/>
          <w:szCs w:val="20"/>
        </w:rPr>
        <w:t>fonction</w:t>
      </w:r>
      <w:r>
        <w:rPr>
          <w:rFonts w:ascii="Verdana" w:eastAsia="Verdana" w:hAnsi="Verdana" w:cs="Verdana"/>
          <w:color w:val="000000"/>
          <w:sz w:val="20"/>
          <w:szCs w:val="20"/>
        </w:rPr>
        <w:t xml:space="preserve"> des populations/ethnies. </w:t>
      </w:r>
    </w:p>
    <w:p w14:paraId="747EFFD8"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Sanger est une méthode de séquençage plus précise/localisée et permet de vérifier ce qu’on a obtenu en NGS. </w:t>
      </w:r>
    </w:p>
    <w:p w14:paraId="4729EA4B"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Il est écrit dans l’énoncé qu’on a fait un </w:t>
      </w:r>
      <w:r>
        <w:rPr>
          <w:rFonts w:ascii="Verdana" w:eastAsia="Verdana" w:hAnsi="Verdana" w:cs="Verdana"/>
          <w:b/>
          <w:color w:val="000000"/>
          <w:sz w:val="20"/>
          <w:szCs w:val="20"/>
        </w:rPr>
        <w:t xml:space="preserve">panel de gènes, </w:t>
      </w:r>
      <w:r>
        <w:rPr>
          <w:rFonts w:ascii="Verdana" w:eastAsia="Verdana" w:hAnsi="Verdana" w:cs="Verdana"/>
          <w:color w:val="000000"/>
          <w:sz w:val="20"/>
          <w:szCs w:val="20"/>
        </w:rPr>
        <w:t xml:space="preserve">c’est-à-dire qu’on a séquencé seulement un petit nombre de gènes, non pas le génome entier. </w:t>
      </w:r>
    </w:p>
    <w:p w14:paraId="2E0E1D95"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D FAUX</w:t>
      </w:r>
      <w:r>
        <w:rPr>
          <w:rFonts w:ascii="Verdana" w:eastAsia="Verdana" w:hAnsi="Verdana" w:cs="Verdana"/>
          <w:color w:val="000000"/>
          <w:sz w:val="20"/>
          <w:szCs w:val="20"/>
        </w:rPr>
        <w:t xml:space="preserve"> Les nucléotides marqués en NGS ressemblent à des ddNTP, qui eux sont irréversibles, mais vont être détachés à chaque étape de lavage ce qui va permettre de poursuivre la synthèse. On appelle ça le </w:t>
      </w:r>
      <w:r>
        <w:rPr>
          <w:rFonts w:ascii="Verdana" w:eastAsia="Verdana" w:hAnsi="Verdana" w:cs="Verdana"/>
          <w:b/>
          <w:color w:val="000000"/>
          <w:sz w:val="20"/>
          <w:szCs w:val="20"/>
        </w:rPr>
        <w:t xml:space="preserve">wash and scan. </w:t>
      </w:r>
      <w:r>
        <w:rPr>
          <w:rFonts w:ascii="Verdana" w:eastAsia="Verdana" w:hAnsi="Verdana" w:cs="Verdana"/>
          <w:color w:val="000000"/>
          <w:sz w:val="20"/>
          <w:szCs w:val="20"/>
        </w:rPr>
        <w:t xml:space="preserve">En effet, on regarde la lumière émise par les nucléotides marqués, puis on lave et on recommence pour séquencer le reste de la séquence. </w:t>
      </w:r>
    </w:p>
    <w:p w14:paraId="6E91AAE7"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A ce stade, la mutation est de signification inconnue. C’est-à-dire que l’on n’a pas suffisamment d’arguments pour la classer. Le fait que l’un des individus porteurs de la mutation soit touché par des anomalies musculaires n’est qu’un argument parmi d’autres et n’est pas suffisant. (cf. chapitre sur les critères de classification des variants du Pr. JANIN).   </w:t>
      </w:r>
    </w:p>
    <w:p w14:paraId="65564E96"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rPr>
      </w:pPr>
      <w:r>
        <w:rPr>
          <w:rFonts w:ascii="Arial" w:eastAsia="Arial" w:hAnsi="Arial" w:cs="Arial"/>
          <w:b/>
          <w:color w:val="000000"/>
          <w:sz w:val="24"/>
          <w:szCs w:val="24"/>
          <w:u w:val="single"/>
        </w:rPr>
        <w:t>Question 15 </w:t>
      </w:r>
      <w:r>
        <w:rPr>
          <w:rFonts w:ascii="Arial" w:eastAsia="Arial" w:hAnsi="Arial" w:cs="Arial"/>
          <w:b/>
          <w:color w:val="000000"/>
          <w:sz w:val="24"/>
          <w:szCs w:val="24"/>
        </w:rPr>
        <w:t>: ABD</w:t>
      </w:r>
    </w:p>
    <w:p w14:paraId="3B11B545"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Plusieurs membres d’une famille présentent des anomalies musculaires (arbre ci-dessous). </w:t>
      </w:r>
    </w:p>
    <w:p w14:paraId="3163FDAC"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Vous réalisez l’analyse d’un panel de gènes impliqués dans ce type de pathologie par séquençage haut débit chez l’individu IV-1 et retrouvez une mutation pathogène responsable de sa maladie</w:t>
      </w:r>
    </w:p>
    <w:p w14:paraId="64076EA6" w14:textId="77777777" w:rsidR="003D4A4A" w:rsidRDefault="00000000">
      <w:pPr>
        <w:keepNext/>
        <w:pBdr>
          <w:top w:val="nil"/>
          <w:left w:val="nil"/>
          <w:bottom w:val="nil"/>
          <w:right w:val="nil"/>
          <w:between w:val="nil"/>
        </w:pBdr>
        <w:ind w:firstLine="0"/>
        <w:jc w:val="center"/>
        <w:rPr>
          <w:rFonts w:ascii="Tahoma" w:eastAsia="Tahoma" w:hAnsi="Tahoma" w:cs="Tahoma"/>
          <w:color w:val="000000"/>
          <w:sz w:val="21"/>
          <w:szCs w:val="21"/>
        </w:rPr>
      </w:pPr>
      <w:r>
        <w:rPr>
          <w:rFonts w:ascii="Tahoma" w:eastAsia="Tahoma" w:hAnsi="Tahoma" w:cs="Tahoma"/>
          <w:noProof/>
          <w:color w:val="000000"/>
          <w:sz w:val="21"/>
          <w:szCs w:val="21"/>
        </w:rPr>
        <w:drawing>
          <wp:inline distT="0" distB="0" distL="0" distR="0" wp14:anchorId="17615B43" wp14:editId="0CF6D8F5">
            <wp:extent cx="5257800" cy="249555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57800" cy="2495550"/>
                    </a:xfrm>
                    <a:prstGeom prst="rect">
                      <a:avLst/>
                    </a:prstGeom>
                    <a:ln/>
                  </pic:spPr>
                </pic:pic>
              </a:graphicData>
            </a:graphic>
          </wp:inline>
        </w:drawing>
      </w:r>
    </w:p>
    <w:p w14:paraId="0C2CB4DE"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 xml:space="preserve">Le couple III-4 et III-5 attende un nouvel enfant. </w:t>
      </w:r>
    </w:p>
    <w:p w14:paraId="2A2364F8"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Parmi les propositions suivantes, laquelle(lesquelles) est(sont) exactes ?</w:t>
      </w:r>
    </w:p>
    <w:p w14:paraId="2AE53A0A" w14:textId="77777777" w:rsidR="003D4A4A" w:rsidRDefault="00000000">
      <w:pPr>
        <w:keepLines/>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C’est une maladie génétique à transmission récessive lié au chromosome X.</w:t>
      </w:r>
    </w:p>
    <w:p w14:paraId="36F05119" w14:textId="77777777" w:rsidR="003D4A4A" w:rsidRDefault="00000000">
      <w:pPr>
        <w:keepLines/>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On pourra proposer l’analyse du sexe fœtal dans le sérum de la mère III-5 enceinte.</w:t>
      </w:r>
    </w:p>
    <w:p w14:paraId="3C640027" w14:textId="77777777" w:rsidR="003D4A4A" w:rsidRDefault="00000000">
      <w:pPr>
        <w:keepLines/>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En cas de fœtus féminin, on proposera un diagnostic prénatal invasif.</w:t>
      </w:r>
    </w:p>
    <w:p w14:paraId="6366AA5D" w14:textId="77777777" w:rsidR="003D4A4A" w:rsidRDefault="00000000">
      <w:pPr>
        <w:keepLines/>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Si une ponction de villosités choriales est réalisée, ce sera à la 11ème semaine d’aménorrhée.</w:t>
      </w:r>
    </w:p>
    <w:p w14:paraId="74A29596" w14:textId="77777777" w:rsidR="003D4A4A" w:rsidRDefault="00000000">
      <w:pPr>
        <w:keepLines/>
        <w:numPr>
          <w:ilvl w:val="0"/>
          <w:numId w:val="2"/>
        </w:numPr>
        <w:pBdr>
          <w:top w:val="nil"/>
          <w:left w:val="nil"/>
          <w:bottom w:val="nil"/>
          <w:right w:val="nil"/>
          <w:between w:val="nil"/>
        </w:pBdr>
        <w:spacing w:after="80" w:line="240" w:lineRule="auto"/>
      </w:pPr>
      <w:r>
        <w:rPr>
          <w:rFonts w:ascii="Verdana" w:eastAsia="Verdana" w:hAnsi="Verdana" w:cs="Verdana"/>
          <w:color w:val="000000"/>
          <w:sz w:val="19"/>
          <w:szCs w:val="19"/>
        </w:rPr>
        <w:t>En cas de diagnostic prénatal, une des techniques utilisées ciblant la position de la mutation sera du séquençage haut débit.</w:t>
      </w:r>
    </w:p>
    <w:p w14:paraId="1C519999"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lastRenderedPageBreak/>
        <w:t>A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Seuls les hommes sont atteints, ce qui nous indique que la maladie est plutôt liée au chromosome X (1 chromosome X atteint chez l’homme = atteinte de la maladie). La maladie est récessive. En effet, sachant que la transmission est liée à l’X, c’est la mère qui a transmis le chromosome X à ses garçons (puisque le père transmet forcément le chromosome Y) donc si la transmission avait été dominante, la mère aurait dû être malade. De plus, l’un des parents </w:t>
      </w:r>
      <w:r>
        <w:rPr>
          <w:rFonts w:ascii="Verdana" w:eastAsia="Verdana" w:hAnsi="Verdana" w:cs="Verdana"/>
          <w:sz w:val="20"/>
          <w:szCs w:val="20"/>
        </w:rPr>
        <w:t>aurait</w:t>
      </w:r>
      <w:r>
        <w:rPr>
          <w:rFonts w:ascii="Verdana" w:eastAsia="Verdana" w:hAnsi="Verdana" w:cs="Verdana"/>
          <w:color w:val="000000"/>
          <w:sz w:val="20"/>
          <w:szCs w:val="20"/>
        </w:rPr>
        <w:t xml:space="preserve"> forcément été malade. </w:t>
      </w:r>
    </w:p>
    <w:p w14:paraId="017E5109"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B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La maladie étant liée à l’X, il y aurait un intérêt à </w:t>
      </w:r>
      <w:r>
        <w:rPr>
          <w:rFonts w:ascii="Verdana" w:eastAsia="Verdana" w:hAnsi="Verdana" w:cs="Verdana"/>
          <w:sz w:val="20"/>
          <w:szCs w:val="20"/>
        </w:rPr>
        <w:t>savoir si le fœtus</w:t>
      </w:r>
      <w:r>
        <w:rPr>
          <w:rFonts w:ascii="Verdana" w:eastAsia="Verdana" w:hAnsi="Verdana" w:cs="Verdana"/>
          <w:color w:val="000000"/>
          <w:sz w:val="20"/>
          <w:szCs w:val="20"/>
        </w:rPr>
        <w:t xml:space="preserve"> est féminin ou masculin.</w:t>
      </w:r>
    </w:p>
    <w:p w14:paraId="65F78090"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C FAUX</w:t>
      </w:r>
      <w:r>
        <w:rPr>
          <w:rFonts w:ascii="Verdana" w:eastAsia="Verdana" w:hAnsi="Verdana" w:cs="Verdana"/>
          <w:color w:val="000000"/>
          <w:sz w:val="20"/>
          <w:szCs w:val="20"/>
        </w:rPr>
        <w:t xml:space="preserve"> Comme la transmission est récessive liée à l’X, pour qu’un fœtus féminin soit malade, il devrait hériter d’un chromosome X malade par sa mère (possible) mais aussi d’un chromosome X malade par son père, ce qui est impossible car il est sain sur l’arbre. Le fœtus féminin ne pourra donc pas avoir 2 chromosomes X malades donc ne sera pas malade. Donc réaliser un diagnostic prénatal invasif n’aurait pas d’intérêt. </w:t>
      </w:r>
    </w:p>
    <w:p w14:paraId="630BFA4A"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D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Le prélèvement sur les villosités choriales s’effectue entre la 11</w:t>
      </w:r>
      <w:r>
        <w:rPr>
          <w:rFonts w:ascii="Verdana" w:eastAsia="Verdana" w:hAnsi="Verdana" w:cs="Verdana"/>
          <w:color w:val="000000"/>
          <w:sz w:val="20"/>
          <w:szCs w:val="20"/>
          <w:vertAlign w:val="superscript"/>
        </w:rPr>
        <w:t>ème</w:t>
      </w:r>
      <w:r>
        <w:rPr>
          <w:rFonts w:ascii="Verdana" w:eastAsia="Verdana" w:hAnsi="Verdana" w:cs="Verdana"/>
          <w:color w:val="000000"/>
          <w:sz w:val="20"/>
          <w:szCs w:val="20"/>
        </w:rPr>
        <w:t xml:space="preserve"> et la 14</w:t>
      </w:r>
      <w:r>
        <w:rPr>
          <w:rFonts w:ascii="Verdana" w:eastAsia="Verdana" w:hAnsi="Verdana" w:cs="Verdana"/>
          <w:color w:val="000000"/>
          <w:sz w:val="20"/>
          <w:szCs w:val="20"/>
          <w:vertAlign w:val="superscript"/>
        </w:rPr>
        <w:t>ème</w:t>
      </w:r>
      <w:r>
        <w:rPr>
          <w:rFonts w:ascii="Verdana" w:eastAsia="Verdana" w:hAnsi="Verdana" w:cs="Verdana"/>
          <w:color w:val="000000"/>
          <w:sz w:val="20"/>
          <w:szCs w:val="20"/>
        </w:rPr>
        <w:t xml:space="preserve"> SA.</w:t>
      </w:r>
    </w:p>
    <w:p w14:paraId="5D8DD65A"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Pour découvrir la mutation, on fait du séquençage haut-débit. En effet, n’ayant aucune idée d’où celle-ci se trouve, on doit faire du séquençage à grande échelle. Cependant, une fois la mutation déterminée et dans le cas d’un diagnostic prénatal, on ne fait plus de NGS mais plutôt du séquençage Sanger. </w:t>
      </w:r>
    </w:p>
    <w:p w14:paraId="256522FF" w14:textId="77777777" w:rsidR="003D4A4A" w:rsidRDefault="00000000">
      <w:pPr>
        <w:keepNext/>
        <w:pBdr>
          <w:top w:val="none" w:sz="0" w:space="0" w:color="000000"/>
          <w:left w:val="none" w:sz="0" w:space="0" w:color="000000"/>
          <w:bottom w:val="none" w:sz="0" w:space="0" w:color="000000"/>
          <w:right w:val="none" w:sz="0" w:space="0" w:color="000000"/>
          <w:between w:val="nil"/>
        </w:pBdr>
        <w:spacing w:before="600" w:after="120"/>
        <w:ind w:firstLine="0"/>
        <w:rPr>
          <w:rFonts w:ascii="Arial" w:eastAsia="Arial" w:hAnsi="Arial" w:cs="Arial"/>
          <w:b/>
          <w:color w:val="000000"/>
          <w:sz w:val="24"/>
          <w:szCs w:val="24"/>
        </w:rPr>
      </w:pPr>
      <w:r>
        <w:rPr>
          <w:rFonts w:ascii="Arial" w:eastAsia="Arial" w:hAnsi="Arial" w:cs="Arial"/>
          <w:b/>
          <w:color w:val="000000"/>
          <w:sz w:val="24"/>
          <w:szCs w:val="24"/>
          <w:u w:val="single"/>
        </w:rPr>
        <w:t>Question 16</w:t>
      </w:r>
      <w:r>
        <w:rPr>
          <w:rFonts w:ascii="Arial" w:eastAsia="Arial" w:hAnsi="Arial" w:cs="Arial"/>
          <w:b/>
          <w:color w:val="000000"/>
          <w:sz w:val="24"/>
          <w:szCs w:val="24"/>
        </w:rPr>
        <w:t> : C</w:t>
      </w:r>
    </w:p>
    <w:p w14:paraId="33FC647C" w14:textId="77777777" w:rsidR="003D4A4A" w:rsidRDefault="00000000">
      <w:pPr>
        <w:keepNext/>
        <w:pBdr>
          <w:top w:val="nil"/>
          <w:left w:val="nil"/>
          <w:bottom w:val="nil"/>
          <w:right w:val="nil"/>
          <w:between w:val="nil"/>
        </w:pBdr>
        <w:ind w:firstLine="0"/>
        <w:rPr>
          <w:rFonts w:ascii="Tahoma" w:eastAsia="Tahoma" w:hAnsi="Tahoma" w:cs="Tahoma"/>
          <w:color w:val="000000"/>
          <w:sz w:val="21"/>
          <w:szCs w:val="21"/>
        </w:rPr>
      </w:pPr>
      <w:r>
        <w:rPr>
          <w:rFonts w:ascii="Tahoma" w:eastAsia="Tahoma" w:hAnsi="Tahoma" w:cs="Tahoma"/>
          <w:color w:val="000000"/>
          <w:sz w:val="21"/>
          <w:szCs w:val="21"/>
        </w:rPr>
        <w:t>A propos des critères d’interprétation des variants génétiques, quelle(s) est (sont) la(es) réponse(s) exacte(s) ?</w:t>
      </w:r>
    </w:p>
    <w:p w14:paraId="74A7A656" w14:textId="77777777" w:rsidR="003D4A4A" w:rsidRDefault="00000000">
      <w:pPr>
        <w:keepLines/>
        <w:numPr>
          <w:ilvl w:val="0"/>
          <w:numId w:val="5"/>
        </w:numPr>
        <w:pBdr>
          <w:top w:val="nil"/>
          <w:left w:val="nil"/>
          <w:bottom w:val="nil"/>
          <w:right w:val="nil"/>
          <w:between w:val="nil"/>
        </w:pBdr>
        <w:spacing w:after="80" w:line="240" w:lineRule="auto"/>
      </w:pPr>
      <w:r>
        <w:rPr>
          <w:rFonts w:ascii="Verdana" w:eastAsia="Verdana" w:hAnsi="Verdana" w:cs="Verdana"/>
          <w:color w:val="000000"/>
          <w:sz w:val="19"/>
          <w:szCs w:val="19"/>
        </w:rPr>
        <w:t>Les recommandations ne sont, pour l’instant, que nationales.</w:t>
      </w:r>
    </w:p>
    <w:p w14:paraId="5EA52169" w14:textId="77777777" w:rsidR="003D4A4A" w:rsidRDefault="00000000">
      <w:pPr>
        <w:keepLines/>
        <w:numPr>
          <w:ilvl w:val="0"/>
          <w:numId w:val="5"/>
        </w:numPr>
        <w:pBdr>
          <w:top w:val="nil"/>
          <w:left w:val="nil"/>
          <w:bottom w:val="nil"/>
          <w:right w:val="nil"/>
          <w:between w:val="nil"/>
        </w:pBdr>
        <w:spacing w:after="80" w:line="240" w:lineRule="auto"/>
      </w:pPr>
      <w:r>
        <w:rPr>
          <w:rFonts w:ascii="Verdana" w:eastAsia="Verdana" w:hAnsi="Verdana" w:cs="Verdana"/>
          <w:color w:val="000000"/>
          <w:sz w:val="19"/>
          <w:szCs w:val="19"/>
        </w:rPr>
        <w:t>Les recommandations ont d’abord été françaises puis reprises à l’international.</w:t>
      </w:r>
    </w:p>
    <w:p w14:paraId="7FFF8FD5" w14:textId="77777777" w:rsidR="003D4A4A" w:rsidRDefault="00000000">
      <w:pPr>
        <w:keepLines/>
        <w:numPr>
          <w:ilvl w:val="0"/>
          <w:numId w:val="5"/>
        </w:numPr>
        <w:pBdr>
          <w:top w:val="nil"/>
          <w:left w:val="nil"/>
          <w:bottom w:val="nil"/>
          <w:right w:val="nil"/>
          <w:between w:val="nil"/>
        </w:pBdr>
        <w:spacing w:after="80" w:line="240" w:lineRule="auto"/>
      </w:pPr>
      <w:r>
        <w:rPr>
          <w:rFonts w:ascii="Verdana" w:eastAsia="Verdana" w:hAnsi="Verdana" w:cs="Verdana"/>
          <w:color w:val="000000"/>
          <w:sz w:val="19"/>
          <w:szCs w:val="19"/>
        </w:rPr>
        <w:t>Les recommandations ont d’abord été internationales puis déclinées au niveau national.</w:t>
      </w:r>
    </w:p>
    <w:p w14:paraId="0A3DE4A7" w14:textId="77777777" w:rsidR="003D4A4A" w:rsidRDefault="00000000">
      <w:pPr>
        <w:keepLines/>
        <w:numPr>
          <w:ilvl w:val="0"/>
          <w:numId w:val="5"/>
        </w:numPr>
        <w:pBdr>
          <w:top w:val="nil"/>
          <w:left w:val="nil"/>
          <w:bottom w:val="nil"/>
          <w:right w:val="nil"/>
          <w:between w:val="nil"/>
        </w:pBdr>
        <w:spacing w:after="80" w:line="240" w:lineRule="auto"/>
      </w:pPr>
      <w:r>
        <w:rPr>
          <w:rFonts w:ascii="Verdana" w:eastAsia="Verdana" w:hAnsi="Verdana" w:cs="Verdana"/>
          <w:color w:val="000000"/>
          <w:sz w:val="19"/>
          <w:szCs w:val="19"/>
        </w:rPr>
        <w:t>Les recommandations sont très largement fondées sur les publications internationales.</w:t>
      </w:r>
    </w:p>
    <w:p w14:paraId="0379A154" w14:textId="77777777" w:rsidR="003D4A4A" w:rsidRDefault="00000000">
      <w:pPr>
        <w:keepLines/>
        <w:numPr>
          <w:ilvl w:val="0"/>
          <w:numId w:val="5"/>
        </w:numPr>
        <w:pBdr>
          <w:top w:val="nil"/>
          <w:left w:val="nil"/>
          <w:bottom w:val="nil"/>
          <w:right w:val="nil"/>
          <w:between w:val="nil"/>
        </w:pBdr>
        <w:spacing w:after="80" w:line="240" w:lineRule="auto"/>
      </w:pPr>
      <w:r>
        <w:rPr>
          <w:rFonts w:ascii="Verdana" w:eastAsia="Verdana" w:hAnsi="Verdana" w:cs="Verdana"/>
          <w:color w:val="000000"/>
          <w:sz w:val="19"/>
          <w:szCs w:val="19"/>
        </w:rPr>
        <w:t>Tous les critères de décision ont le même poids.</w:t>
      </w:r>
    </w:p>
    <w:p w14:paraId="6C2ED201"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A FAUX</w:t>
      </w:r>
      <w:r>
        <w:rPr>
          <w:rFonts w:ascii="Verdana" w:eastAsia="Verdana" w:hAnsi="Verdana" w:cs="Verdana"/>
          <w:color w:val="000000"/>
          <w:sz w:val="20"/>
          <w:szCs w:val="20"/>
        </w:rPr>
        <w:t xml:space="preserve"> Elles ont été rédigées à l’échelle internationale en 2015, puis déclinées en France en 2017 via le réseau NGS-Diag et l’association des Praticiens en Génétique Moléculaires.</w:t>
      </w:r>
    </w:p>
    <w:p w14:paraId="5B3B5CEF"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B FAUX</w:t>
      </w:r>
      <w:r>
        <w:rPr>
          <w:rFonts w:ascii="Verdana" w:eastAsia="Verdana" w:hAnsi="Verdana" w:cs="Verdana"/>
          <w:color w:val="000000"/>
          <w:sz w:val="20"/>
          <w:szCs w:val="20"/>
        </w:rPr>
        <w:t xml:space="preserve"> C’est l’inverse, cf. question A. </w:t>
      </w:r>
    </w:p>
    <w:p w14:paraId="0F691E4F"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00B050"/>
          <w:sz w:val="20"/>
          <w:szCs w:val="20"/>
        </w:rPr>
        <w:t>C VRAI</w:t>
      </w:r>
      <w:r>
        <w:rPr>
          <w:rFonts w:ascii="Verdana" w:eastAsia="Verdana" w:hAnsi="Verdana" w:cs="Verdana"/>
          <w:b/>
          <w:color w:val="000000"/>
          <w:sz w:val="20"/>
          <w:szCs w:val="20"/>
        </w:rPr>
        <w:t xml:space="preserve"> </w:t>
      </w:r>
      <w:r>
        <w:rPr>
          <w:rFonts w:ascii="Verdana" w:eastAsia="Verdana" w:hAnsi="Verdana" w:cs="Verdana"/>
          <w:color w:val="000000"/>
          <w:sz w:val="20"/>
          <w:szCs w:val="20"/>
        </w:rPr>
        <w:t>cf. question A</w:t>
      </w:r>
    </w:p>
    <w:p w14:paraId="4EBC7C3D" w14:textId="77777777" w:rsidR="003D4A4A" w:rsidRDefault="00000000">
      <w:pPr>
        <w:keepNext/>
        <w:pBdr>
          <w:top w:val="nil"/>
          <w:left w:val="nil"/>
          <w:bottom w:val="nil"/>
          <w:right w:val="nil"/>
          <w:between w:val="nil"/>
        </w:pBdr>
        <w:spacing w:before="160"/>
        <w:ind w:firstLine="0"/>
        <w:rPr>
          <w:rFonts w:ascii="Verdana" w:eastAsia="Verdana" w:hAnsi="Verdana" w:cs="Verdana"/>
          <w:b/>
          <w:color w:val="000000"/>
          <w:sz w:val="20"/>
          <w:szCs w:val="20"/>
        </w:rPr>
      </w:pPr>
      <w:r>
        <w:rPr>
          <w:rFonts w:ascii="Verdana" w:eastAsia="Verdana" w:hAnsi="Verdana" w:cs="Verdana"/>
          <w:b/>
          <w:color w:val="FF0000"/>
          <w:sz w:val="20"/>
          <w:szCs w:val="20"/>
        </w:rPr>
        <w:t>D FAUX</w:t>
      </w:r>
      <w:r>
        <w:rPr>
          <w:rFonts w:ascii="Verdana" w:eastAsia="Verdana" w:hAnsi="Verdana" w:cs="Verdana"/>
          <w:color w:val="000000"/>
          <w:sz w:val="20"/>
          <w:szCs w:val="20"/>
        </w:rPr>
        <w:t xml:space="preserve"> Les recommandations s’appuient sur des données </w:t>
      </w:r>
      <w:r>
        <w:rPr>
          <w:rFonts w:ascii="Verdana" w:eastAsia="Verdana" w:hAnsi="Verdana" w:cs="Verdana"/>
          <w:b/>
          <w:color w:val="000000"/>
          <w:sz w:val="20"/>
          <w:szCs w:val="20"/>
        </w:rPr>
        <w:t>bibliographiques</w:t>
      </w:r>
      <w:r>
        <w:rPr>
          <w:rFonts w:ascii="Verdana" w:eastAsia="Verdana" w:hAnsi="Verdana" w:cs="Verdana"/>
          <w:color w:val="000000"/>
          <w:sz w:val="20"/>
          <w:szCs w:val="20"/>
        </w:rPr>
        <w:t xml:space="preserve"> en autres, mais pas uniquement. Elles proviennent également de données </w:t>
      </w:r>
      <w:r>
        <w:rPr>
          <w:rFonts w:ascii="Verdana" w:eastAsia="Verdana" w:hAnsi="Verdana" w:cs="Verdana"/>
          <w:b/>
          <w:color w:val="000000"/>
          <w:sz w:val="20"/>
          <w:szCs w:val="20"/>
        </w:rPr>
        <w:t>épidémiologiques</w:t>
      </w:r>
      <w:r>
        <w:rPr>
          <w:rFonts w:ascii="Verdana" w:eastAsia="Verdana" w:hAnsi="Verdana" w:cs="Verdana"/>
          <w:color w:val="000000"/>
          <w:sz w:val="20"/>
          <w:szCs w:val="20"/>
        </w:rPr>
        <w:t xml:space="preserve">, </w:t>
      </w:r>
      <w:r>
        <w:rPr>
          <w:rFonts w:ascii="Verdana" w:eastAsia="Verdana" w:hAnsi="Verdana" w:cs="Verdana"/>
          <w:b/>
          <w:color w:val="000000"/>
          <w:sz w:val="20"/>
          <w:szCs w:val="20"/>
        </w:rPr>
        <w:lastRenderedPageBreak/>
        <w:t>structurales</w:t>
      </w:r>
      <w:r>
        <w:rPr>
          <w:rFonts w:ascii="Verdana" w:eastAsia="Verdana" w:hAnsi="Verdana" w:cs="Verdana"/>
          <w:color w:val="000000"/>
          <w:sz w:val="20"/>
          <w:szCs w:val="20"/>
        </w:rPr>
        <w:t>,</w:t>
      </w:r>
      <w:r>
        <w:rPr>
          <w:rFonts w:ascii="Verdana" w:eastAsia="Verdana" w:hAnsi="Verdana" w:cs="Verdana"/>
          <w:b/>
          <w:color w:val="000000"/>
          <w:sz w:val="20"/>
          <w:szCs w:val="20"/>
        </w:rPr>
        <w:t xml:space="preserve"> cliniques</w:t>
      </w:r>
      <w:r>
        <w:rPr>
          <w:rFonts w:ascii="Verdana" w:eastAsia="Verdana" w:hAnsi="Verdana" w:cs="Verdana"/>
          <w:color w:val="000000"/>
          <w:sz w:val="20"/>
          <w:szCs w:val="20"/>
        </w:rPr>
        <w:t>,</w:t>
      </w:r>
      <w:r>
        <w:rPr>
          <w:rFonts w:ascii="Verdana" w:eastAsia="Verdana" w:hAnsi="Verdana" w:cs="Verdana"/>
          <w:b/>
          <w:color w:val="000000"/>
          <w:sz w:val="20"/>
          <w:szCs w:val="20"/>
        </w:rPr>
        <w:t xml:space="preserve"> de ségrégation</w:t>
      </w:r>
      <w:r>
        <w:rPr>
          <w:rFonts w:ascii="Verdana" w:eastAsia="Verdana" w:hAnsi="Verdana" w:cs="Verdana"/>
          <w:color w:val="000000"/>
          <w:sz w:val="20"/>
          <w:szCs w:val="20"/>
        </w:rPr>
        <w:t>,</w:t>
      </w:r>
      <w:r>
        <w:rPr>
          <w:rFonts w:ascii="Verdana" w:eastAsia="Verdana" w:hAnsi="Verdana" w:cs="Verdana"/>
          <w:b/>
          <w:color w:val="000000"/>
          <w:sz w:val="20"/>
          <w:szCs w:val="20"/>
        </w:rPr>
        <w:t xml:space="preserve"> fonctionnelles</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cliniques </w:t>
      </w:r>
      <w:r>
        <w:rPr>
          <w:rFonts w:ascii="Verdana" w:eastAsia="Verdana" w:hAnsi="Verdana" w:cs="Verdana"/>
          <w:color w:val="000000"/>
          <w:sz w:val="20"/>
          <w:szCs w:val="20"/>
        </w:rPr>
        <w:t>et</w:t>
      </w:r>
      <w:r>
        <w:rPr>
          <w:rFonts w:ascii="Verdana" w:eastAsia="Verdana" w:hAnsi="Verdana" w:cs="Verdana"/>
          <w:b/>
          <w:color w:val="000000"/>
          <w:sz w:val="20"/>
          <w:szCs w:val="20"/>
        </w:rPr>
        <w:t xml:space="preserve"> de présences de variations associées. </w:t>
      </w:r>
    </w:p>
    <w:p w14:paraId="2FF70B33" w14:textId="77777777" w:rsidR="003D4A4A" w:rsidRDefault="00000000">
      <w:pPr>
        <w:keepNext/>
        <w:pBdr>
          <w:top w:val="nil"/>
          <w:left w:val="nil"/>
          <w:bottom w:val="nil"/>
          <w:right w:val="nil"/>
          <w:between w:val="nil"/>
        </w:pBdr>
        <w:spacing w:before="160"/>
        <w:ind w:firstLine="0"/>
        <w:rPr>
          <w:rFonts w:ascii="Verdana" w:eastAsia="Verdana" w:hAnsi="Verdana" w:cs="Verdana"/>
          <w:color w:val="000000"/>
          <w:sz w:val="20"/>
          <w:szCs w:val="20"/>
        </w:rPr>
      </w:pPr>
      <w:r>
        <w:rPr>
          <w:rFonts w:ascii="Verdana" w:eastAsia="Verdana" w:hAnsi="Verdana" w:cs="Verdana"/>
          <w:b/>
          <w:color w:val="FF0000"/>
          <w:sz w:val="20"/>
          <w:szCs w:val="20"/>
        </w:rPr>
        <w:t>E FAUX</w:t>
      </w:r>
      <w:r>
        <w:rPr>
          <w:rFonts w:ascii="Verdana" w:eastAsia="Verdana" w:hAnsi="Verdana" w:cs="Verdana"/>
          <w:color w:val="000000"/>
          <w:sz w:val="20"/>
          <w:szCs w:val="20"/>
        </w:rPr>
        <w:t xml:space="preserve"> Cf. schéma ci-dessous.</w:t>
      </w:r>
    </w:p>
    <w:p w14:paraId="3375719B" w14:textId="77777777" w:rsidR="003D4A4A" w:rsidRDefault="00000000">
      <w:pPr>
        <w:keepNext/>
        <w:pBdr>
          <w:top w:val="nil"/>
          <w:left w:val="nil"/>
          <w:bottom w:val="nil"/>
          <w:right w:val="nil"/>
          <w:between w:val="nil"/>
        </w:pBdr>
        <w:spacing w:before="160"/>
        <w:ind w:firstLine="0"/>
        <w:jc w:val="center"/>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74EDEAA5" wp14:editId="664FAC42">
            <wp:extent cx="3619500" cy="20701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619500" cy="2070100"/>
                    </a:xfrm>
                    <a:prstGeom prst="rect">
                      <a:avLst/>
                    </a:prstGeom>
                    <a:ln/>
                  </pic:spPr>
                </pic:pic>
              </a:graphicData>
            </a:graphic>
          </wp:inline>
        </w:drawing>
      </w:r>
    </w:p>
    <w:sectPr w:rsidR="003D4A4A">
      <w:headerReference w:type="even" r:id="rId13"/>
      <w:headerReference w:type="default" r:id="rId14"/>
      <w:footerReference w:type="even" r:id="rId15"/>
      <w:footerReference w:type="default" r:id="rId16"/>
      <w:footerReference w:type="first" r:id="rId17"/>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06BC" w14:textId="77777777" w:rsidR="004F7648" w:rsidRDefault="004F7648">
      <w:pPr>
        <w:spacing w:after="0" w:line="240" w:lineRule="auto"/>
      </w:pPr>
      <w:r>
        <w:separator/>
      </w:r>
    </w:p>
  </w:endnote>
  <w:endnote w:type="continuationSeparator" w:id="0">
    <w:p w14:paraId="24BAC389" w14:textId="77777777" w:rsidR="004F7648" w:rsidRDefault="004F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Corp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3CF4" w14:textId="77777777" w:rsidR="003D4A4A" w:rsidRDefault="00000000">
    <w:pPr>
      <w:pBdr>
        <w:top w:val="nil"/>
        <w:left w:val="nil"/>
        <w:bottom w:val="nil"/>
        <w:right w:val="nil"/>
        <w:between w:val="nil"/>
      </w:pBdr>
      <w:tabs>
        <w:tab w:val="center" w:pos="4536"/>
        <w:tab w:val="right" w:pos="9072"/>
        <w:tab w:val="center" w:pos="4763"/>
      </w:tabs>
      <w:spacing w:after="0" w:line="240" w:lineRule="auto"/>
      <w:jc w:val="right"/>
      <w:rPr>
        <w:rFonts w:eastAsia="Calibri"/>
        <w:color w:val="000000"/>
      </w:rPr>
    </w:pPr>
    <w:r>
      <w:rPr>
        <w:rFonts w:eastAsia="Calibri"/>
        <w:color w:val="000000"/>
        <w:highlight w:val="yellow"/>
      </w:rPr>
      <w:t>##</w:t>
    </w:r>
    <w:r>
      <w:rPr>
        <w:rFonts w:eastAsia="Calibri"/>
        <w:color w:val="000000"/>
      </w:rPr>
      <w:t>/</w:t>
    </w:r>
    <w:r>
      <w:rPr>
        <w:rFonts w:eastAsia="Calibri"/>
        <w:color w:val="000000"/>
        <w:highlight w:val="yellow"/>
      </w:rPr>
      <w:t>##</w:t>
    </w:r>
    <w:r>
      <w:rPr>
        <w:rFonts w:eastAsia="Calibri"/>
        <w:color w:val="000000"/>
      </w:rPr>
      <w:t>/20</w:t>
    </w:r>
    <w:r>
      <w:rPr>
        <w:rFonts w:eastAsia="Calibri"/>
        <w:color w:val="000000"/>
        <w:highlight w:val="yellow"/>
      </w:rPr>
      <w:t>##</w:t>
    </w:r>
    <w:r>
      <w:rPr>
        <w:rFonts w:eastAsia="Calibri"/>
        <w:color w:val="000000"/>
      </w:rPr>
      <w:t>UE</w:t>
    </w:r>
    <w:r>
      <w:rPr>
        <w:rFonts w:eastAsia="Calibri"/>
        <w:color w:val="000000"/>
        <w:highlight w:val="yellow"/>
      </w:rPr>
      <w:t>#</w:t>
    </w:r>
    <w:r>
      <w:rPr>
        <w:rFonts w:eastAsia="Calibri"/>
        <w:color w:val="000000"/>
      </w:rPr>
      <w:t xml:space="preserve"> – EM n°</w:t>
    </w:r>
    <w:r>
      <w:rPr>
        <w:rFonts w:eastAsia="Calibri"/>
        <w:color w:val="000000"/>
        <w:highlight w:val="yellow"/>
      </w:rPr>
      <w:t>#</w:t>
    </w:r>
    <w:r>
      <w:rPr>
        <w:rFonts w:eastAsia="Calibri"/>
        <w:color w:val="000000"/>
      </w:rPr>
      <w:t xml:space="preserve">/CCB/EBPage </w:t>
    </w:r>
    <w:r>
      <w:rPr>
        <w:rFonts w:eastAsia="Calibri"/>
        <w:b/>
        <w:color w:val="000000"/>
      </w:rPr>
      <w:fldChar w:fldCharType="begin"/>
    </w:r>
    <w:r>
      <w:rPr>
        <w:rFonts w:eastAsia="Calibri"/>
        <w:b/>
        <w:color w:val="000000"/>
      </w:rPr>
      <w:instrText>PAGE</w:instrText>
    </w:r>
    <w:r>
      <w:rPr>
        <w:rFonts w:eastAsia="Calibri"/>
        <w:b/>
        <w:color w:val="000000"/>
      </w:rPr>
      <w:fldChar w:fldCharType="separate"/>
    </w:r>
    <w:r>
      <w:rPr>
        <w:rFonts w:eastAsia="Calibri"/>
        <w:b/>
        <w:color w:val="000000"/>
      </w:rPr>
      <w:fldChar w:fldCharType="end"/>
    </w:r>
    <w:r>
      <w:rPr>
        <w:rFonts w:eastAsia="Calibri"/>
        <w:color w:val="000000"/>
      </w:rPr>
      <w:t xml:space="preserve"> sur </w:t>
    </w:r>
    <w:r>
      <w:rPr>
        <w:rFonts w:eastAsia="Calibri"/>
        <w:b/>
        <w:color w:val="000000"/>
      </w:rPr>
      <w:fldChar w:fldCharType="begin"/>
    </w:r>
    <w:r>
      <w:rPr>
        <w:rFonts w:eastAsia="Calibri"/>
        <w:b/>
        <w:color w:val="000000"/>
      </w:rPr>
      <w:instrText>NUMPAGES</w:instrText>
    </w:r>
    <w:r>
      <w:rPr>
        <w:rFonts w:eastAsia="Calibri"/>
        <w:b/>
        <w:color w:val="000000"/>
      </w:rPr>
      <w:fldChar w:fldCharType="separate"/>
    </w:r>
    <w:r>
      <w:rPr>
        <w:rFonts w:eastAsia="Calibri"/>
        <w:b/>
        <w:color w:val="000000"/>
      </w:rPr>
      <w:fldChar w:fldCharType="end"/>
    </w:r>
    <w:r>
      <w:rPr>
        <w:noProof/>
      </w:rPr>
      <w:drawing>
        <wp:anchor distT="0" distB="0" distL="0" distR="0" simplePos="0" relativeHeight="251660288" behindDoc="1" locked="0" layoutInCell="1" hidden="0" allowOverlap="1" wp14:anchorId="0F409668" wp14:editId="3BD6D1BF">
          <wp:simplePos x="0" y="0"/>
          <wp:positionH relativeFrom="column">
            <wp:posOffset>-899794</wp:posOffset>
          </wp:positionH>
          <wp:positionV relativeFrom="paragraph">
            <wp:posOffset>0</wp:posOffset>
          </wp:positionV>
          <wp:extent cx="7559675" cy="1555115"/>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9581" t="6355" r="24668" b="33375"/>
                  <a:stretch>
                    <a:fillRect/>
                  </a:stretch>
                </pic:blipFill>
                <pic:spPr>
                  <a:xfrm>
                    <a:off x="0" y="0"/>
                    <a:ext cx="7559675" cy="1555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271" w14:textId="77777777" w:rsidR="003D4A4A" w:rsidRDefault="00000000">
    <w:pPr>
      <w:pBdr>
        <w:top w:val="nil"/>
        <w:left w:val="nil"/>
        <w:bottom w:val="nil"/>
        <w:right w:val="nil"/>
        <w:between w:val="nil"/>
      </w:pBdr>
      <w:tabs>
        <w:tab w:val="center" w:pos="4536"/>
        <w:tab w:val="right" w:pos="9072"/>
        <w:tab w:val="center" w:pos="4763"/>
      </w:tabs>
      <w:spacing w:after="0" w:line="240" w:lineRule="auto"/>
      <w:jc w:val="right"/>
      <w:rPr>
        <w:rFonts w:eastAsia="Calibri"/>
        <w:color w:val="000000"/>
      </w:rPr>
    </w:pPr>
    <w:r>
      <w:rPr>
        <w:rFonts w:eastAsia="Calibri"/>
        <w:color w:val="000000"/>
      </w:rPr>
      <w:t>Tutorat – Lyon-EstUE</w:t>
    </w:r>
    <w:r>
      <w:rPr>
        <w:rFonts w:eastAsia="Calibri"/>
        <w:color w:val="000000"/>
        <w:highlight w:val="yellow"/>
      </w:rPr>
      <w:t>#</w:t>
    </w:r>
    <w:r>
      <w:rPr>
        <w:rFonts w:eastAsia="Calibri"/>
        <w:color w:val="000000"/>
      </w:rPr>
      <w:t xml:space="preserve"> – EM n°</w:t>
    </w:r>
    <w:r>
      <w:rPr>
        <w:rFonts w:eastAsia="Calibri"/>
        <w:color w:val="000000"/>
        <w:highlight w:val="yellow"/>
      </w:rPr>
      <w:t>#</w:t>
    </w:r>
    <w:r>
      <w:rPr>
        <w:rFonts w:eastAsia="Calibri"/>
        <w:color w:val="000000"/>
      </w:rPr>
      <w:t xml:space="preserve">/CCB/EB/ERPage </w:t>
    </w:r>
    <w:r>
      <w:rPr>
        <w:rFonts w:eastAsia="Calibri"/>
        <w:b/>
        <w:color w:val="000000"/>
      </w:rPr>
      <w:fldChar w:fldCharType="begin"/>
    </w:r>
    <w:r>
      <w:rPr>
        <w:rFonts w:eastAsia="Calibri"/>
        <w:b/>
        <w:color w:val="000000"/>
      </w:rPr>
      <w:instrText>PAGE</w:instrText>
    </w:r>
    <w:r>
      <w:rPr>
        <w:rFonts w:eastAsia="Calibri"/>
        <w:b/>
        <w:color w:val="000000"/>
      </w:rPr>
      <w:fldChar w:fldCharType="separate"/>
    </w:r>
    <w:r w:rsidR="008C3BC8">
      <w:rPr>
        <w:rFonts w:eastAsia="Calibri"/>
        <w:b/>
        <w:noProof/>
        <w:color w:val="000000"/>
      </w:rPr>
      <w:t>2</w:t>
    </w:r>
    <w:r>
      <w:rPr>
        <w:rFonts w:eastAsia="Calibri"/>
        <w:b/>
        <w:color w:val="000000"/>
      </w:rPr>
      <w:fldChar w:fldCharType="end"/>
    </w:r>
    <w:r>
      <w:rPr>
        <w:rFonts w:eastAsia="Calibri"/>
        <w:color w:val="000000"/>
      </w:rPr>
      <w:t xml:space="preserve"> sur </w:t>
    </w:r>
    <w:r>
      <w:rPr>
        <w:rFonts w:eastAsia="Calibri"/>
        <w:b/>
        <w:color w:val="000000"/>
      </w:rPr>
      <w:fldChar w:fldCharType="begin"/>
    </w:r>
    <w:r>
      <w:rPr>
        <w:rFonts w:eastAsia="Calibri"/>
        <w:b/>
        <w:color w:val="000000"/>
      </w:rPr>
      <w:instrText>NUMPAGES</w:instrText>
    </w:r>
    <w:r>
      <w:rPr>
        <w:rFonts w:eastAsia="Calibri"/>
        <w:b/>
        <w:color w:val="000000"/>
      </w:rPr>
      <w:fldChar w:fldCharType="separate"/>
    </w:r>
    <w:r w:rsidR="008C3BC8">
      <w:rPr>
        <w:rFonts w:eastAsia="Calibri"/>
        <w:b/>
        <w:noProof/>
        <w:color w:val="000000"/>
      </w:rPr>
      <w:t>3</w:t>
    </w:r>
    <w:r>
      <w:rPr>
        <w:rFonts w:eastAsia="Calibri"/>
        <w:b/>
        <w:color w:val="000000"/>
      </w:rPr>
      <w:fldChar w:fldCharType="end"/>
    </w:r>
    <w:r>
      <w:rPr>
        <w:noProof/>
      </w:rPr>
      <w:drawing>
        <wp:anchor distT="0" distB="0" distL="0" distR="0" simplePos="0" relativeHeight="251658240" behindDoc="1" locked="0" layoutInCell="1" hidden="0" allowOverlap="1" wp14:anchorId="3B396E8B" wp14:editId="2552A264">
          <wp:simplePos x="0" y="0"/>
          <wp:positionH relativeFrom="column">
            <wp:posOffset>-899794</wp:posOffset>
          </wp:positionH>
          <wp:positionV relativeFrom="paragraph">
            <wp:posOffset>0</wp:posOffset>
          </wp:positionV>
          <wp:extent cx="7560000" cy="15552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581" t="6355" r="24668" b="33375"/>
                  <a:stretch>
                    <a:fillRect/>
                  </a:stretch>
                </pic:blipFill>
                <pic:spPr>
                  <a:xfrm>
                    <a:off x="0" y="0"/>
                    <a:ext cx="7560000" cy="15552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DB4C" w14:textId="77777777" w:rsidR="003D4A4A" w:rsidRDefault="00000000">
    <w:pPr>
      <w:pBdr>
        <w:top w:val="nil"/>
        <w:left w:val="nil"/>
        <w:bottom w:val="nil"/>
        <w:right w:val="nil"/>
        <w:between w:val="nil"/>
      </w:pBdr>
      <w:tabs>
        <w:tab w:val="center" w:pos="4536"/>
        <w:tab w:val="right" w:pos="9072"/>
        <w:tab w:val="center" w:pos="4763"/>
      </w:tabs>
      <w:spacing w:after="0" w:line="240" w:lineRule="auto"/>
      <w:jc w:val="right"/>
      <w:rPr>
        <w:rFonts w:eastAsia="Calibri"/>
        <w:color w:val="000000"/>
      </w:rPr>
    </w:pPr>
    <w:r>
      <w:rPr>
        <w:rFonts w:eastAsia="Calibri"/>
        <w:color w:val="000000"/>
        <w:highlight w:val="yellow"/>
      </w:rPr>
      <w:t>##</w:t>
    </w:r>
    <w:r>
      <w:rPr>
        <w:rFonts w:eastAsia="Calibri"/>
        <w:color w:val="000000"/>
      </w:rPr>
      <w:t>/</w:t>
    </w:r>
    <w:r>
      <w:rPr>
        <w:rFonts w:eastAsia="Calibri"/>
        <w:color w:val="000000"/>
        <w:highlight w:val="yellow"/>
      </w:rPr>
      <w:t>##</w:t>
    </w:r>
    <w:r>
      <w:rPr>
        <w:rFonts w:eastAsia="Calibri"/>
        <w:color w:val="000000"/>
      </w:rPr>
      <w:t>/20</w:t>
    </w:r>
    <w:r>
      <w:rPr>
        <w:rFonts w:eastAsia="Calibri"/>
        <w:color w:val="000000"/>
        <w:highlight w:val="yellow"/>
      </w:rPr>
      <w:t>##</w:t>
    </w:r>
    <w:r>
      <w:rPr>
        <w:rFonts w:eastAsia="Calibri"/>
        <w:color w:val="000000"/>
      </w:rPr>
      <w:t>UE</w:t>
    </w:r>
    <w:r>
      <w:rPr>
        <w:rFonts w:eastAsia="Calibri"/>
        <w:color w:val="000000"/>
        <w:highlight w:val="yellow"/>
      </w:rPr>
      <w:t>#</w:t>
    </w:r>
    <w:r>
      <w:rPr>
        <w:rFonts w:eastAsia="Calibri"/>
        <w:color w:val="000000"/>
      </w:rPr>
      <w:t xml:space="preserve"> – EM n°</w:t>
    </w:r>
    <w:r>
      <w:rPr>
        <w:rFonts w:eastAsia="Calibri"/>
        <w:color w:val="000000"/>
        <w:highlight w:val="yellow"/>
      </w:rPr>
      <w:t>#</w:t>
    </w:r>
    <w:r>
      <w:rPr>
        <w:rFonts w:eastAsia="Calibri"/>
        <w:color w:val="000000"/>
      </w:rPr>
      <w:t xml:space="preserve">/CCB/EB/ERPage </w:t>
    </w:r>
    <w:r>
      <w:rPr>
        <w:rFonts w:eastAsia="Calibri"/>
        <w:b/>
        <w:color w:val="000000"/>
      </w:rPr>
      <w:fldChar w:fldCharType="begin"/>
    </w:r>
    <w:r>
      <w:rPr>
        <w:rFonts w:eastAsia="Calibri"/>
        <w:b/>
        <w:color w:val="000000"/>
      </w:rPr>
      <w:instrText>PAGE</w:instrText>
    </w:r>
    <w:r>
      <w:rPr>
        <w:rFonts w:eastAsia="Calibri"/>
        <w:b/>
        <w:color w:val="000000"/>
      </w:rPr>
      <w:fldChar w:fldCharType="separate"/>
    </w:r>
    <w:r w:rsidR="008C3BC8">
      <w:rPr>
        <w:rFonts w:eastAsia="Calibri"/>
        <w:b/>
        <w:noProof/>
        <w:color w:val="000000"/>
      </w:rPr>
      <w:t>1</w:t>
    </w:r>
    <w:r>
      <w:rPr>
        <w:rFonts w:eastAsia="Calibri"/>
        <w:b/>
        <w:color w:val="000000"/>
      </w:rPr>
      <w:fldChar w:fldCharType="end"/>
    </w:r>
    <w:r>
      <w:rPr>
        <w:rFonts w:eastAsia="Calibri"/>
        <w:color w:val="000000"/>
      </w:rPr>
      <w:t xml:space="preserve"> sur </w:t>
    </w:r>
    <w:r>
      <w:rPr>
        <w:rFonts w:eastAsia="Calibri"/>
        <w:b/>
        <w:color w:val="000000"/>
      </w:rPr>
      <w:fldChar w:fldCharType="begin"/>
    </w:r>
    <w:r>
      <w:rPr>
        <w:rFonts w:eastAsia="Calibri"/>
        <w:b/>
        <w:color w:val="000000"/>
      </w:rPr>
      <w:instrText>NUMPAGES</w:instrText>
    </w:r>
    <w:r>
      <w:rPr>
        <w:rFonts w:eastAsia="Calibri"/>
        <w:b/>
        <w:color w:val="000000"/>
      </w:rPr>
      <w:fldChar w:fldCharType="separate"/>
    </w:r>
    <w:r w:rsidR="008C3BC8">
      <w:rPr>
        <w:rFonts w:eastAsia="Calibri"/>
        <w:b/>
        <w:noProof/>
        <w:color w:val="000000"/>
      </w:rPr>
      <w:t>2</w:t>
    </w:r>
    <w:r>
      <w:rPr>
        <w:rFonts w:eastAsia="Calibri"/>
        <w:b/>
        <w:color w:val="000000"/>
      </w:rPr>
      <w:fldChar w:fldCharType="end"/>
    </w:r>
    <w:r>
      <w:rPr>
        <w:noProof/>
      </w:rPr>
      <w:drawing>
        <wp:anchor distT="0" distB="0" distL="0" distR="0" simplePos="0" relativeHeight="251659264" behindDoc="1" locked="0" layoutInCell="1" hidden="0" allowOverlap="1" wp14:anchorId="6E2C8C46" wp14:editId="3E0E513E">
          <wp:simplePos x="0" y="0"/>
          <wp:positionH relativeFrom="column">
            <wp:posOffset>-899794</wp:posOffset>
          </wp:positionH>
          <wp:positionV relativeFrom="paragraph">
            <wp:posOffset>0</wp:posOffset>
          </wp:positionV>
          <wp:extent cx="7560000" cy="15552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581" t="6355" r="24668" b="33375"/>
                  <a:stretch>
                    <a:fillRect/>
                  </a:stretch>
                </pic:blipFill>
                <pic:spPr>
                  <a:xfrm>
                    <a:off x="0" y="0"/>
                    <a:ext cx="7560000" cy="1555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CE83" w14:textId="77777777" w:rsidR="004F7648" w:rsidRDefault="004F7648">
      <w:pPr>
        <w:spacing w:after="0" w:line="240" w:lineRule="auto"/>
      </w:pPr>
      <w:r>
        <w:separator/>
      </w:r>
    </w:p>
  </w:footnote>
  <w:footnote w:type="continuationSeparator" w:id="0">
    <w:p w14:paraId="62ADE0E9" w14:textId="77777777" w:rsidR="004F7648" w:rsidRDefault="004F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8F89" w14:textId="77777777" w:rsidR="003D4A4A" w:rsidRDefault="003D4A4A">
    <w:pPr>
      <w:pBdr>
        <w:top w:val="nil"/>
        <w:left w:val="nil"/>
        <w:bottom w:val="nil"/>
        <w:right w:val="nil"/>
        <w:between w:val="nil"/>
      </w:pBdr>
      <w:spacing w:after="0"/>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42F" w14:textId="77777777" w:rsidR="003D4A4A" w:rsidRDefault="003D4A4A">
    <w:pPr>
      <w:pBdr>
        <w:top w:val="nil"/>
        <w:left w:val="nil"/>
        <w:bottom w:val="nil"/>
        <w:right w:val="nil"/>
        <w:between w:val="nil"/>
      </w:pBdr>
      <w:spacing w:after="0"/>
      <w:jc w:val="right"/>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47FA"/>
    <w:multiLevelType w:val="multilevel"/>
    <w:tmpl w:val="F97A5C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B53C38"/>
    <w:multiLevelType w:val="multilevel"/>
    <w:tmpl w:val="CA189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FD00F6"/>
    <w:multiLevelType w:val="multilevel"/>
    <w:tmpl w:val="11B0CB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F33D96"/>
    <w:multiLevelType w:val="multilevel"/>
    <w:tmpl w:val="A83C8BD6"/>
    <w:lvl w:ilvl="0">
      <w:start w:val="1"/>
      <w:numFmt w:val="decimal"/>
      <w:pStyle w:val="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A323D5"/>
    <w:multiLevelType w:val="multilevel"/>
    <w:tmpl w:val="9AA659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E95748"/>
    <w:multiLevelType w:val="multilevel"/>
    <w:tmpl w:val="7A9C3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22DC6"/>
    <w:multiLevelType w:val="multilevel"/>
    <w:tmpl w:val="8DAC63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4836651">
    <w:abstractNumId w:val="4"/>
  </w:num>
  <w:num w:numId="2" w16cid:durableId="76564659">
    <w:abstractNumId w:val="5"/>
  </w:num>
  <w:num w:numId="3" w16cid:durableId="2089882496">
    <w:abstractNumId w:val="0"/>
  </w:num>
  <w:num w:numId="4" w16cid:durableId="1267883387">
    <w:abstractNumId w:val="2"/>
  </w:num>
  <w:num w:numId="5" w16cid:durableId="635600314">
    <w:abstractNumId w:val="1"/>
  </w:num>
  <w:num w:numId="6" w16cid:durableId="70085494">
    <w:abstractNumId w:val="6"/>
  </w:num>
  <w:num w:numId="7" w16cid:durableId="17531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4A"/>
    <w:rsid w:val="003D4A4A"/>
    <w:rsid w:val="00417D1B"/>
    <w:rsid w:val="004F7648"/>
    <w:rsid w:val="008C3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132F"/>
  <w15:docId w15:val="{32A893AF-2084-4287-A84D-3CEF9428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65"/>
    <w:rPr>
      <w:rFonts w:eastAsia="Batang"/>
    </w:rPr>
  </w:style>
  <w:style w:type="paragraph" w:styleId="Titre1">
    <w:name w:val="heading 1"/>
    <w:basedOn w:val="Normal"/>
    <w:next w:val="Normal"/>
    <w:link w:val="Titre1Car"/>
    <w:uiPriority w:val="9"/>
    <w:qFormat/>
    <w:rsid w:val="00521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21C65"/>
    <w:pPr>
      <w:keepNext/>
      <w:outlineLvl w:val="1"/>
    </w:pPr>
    <w:rPr>
      <w:b/>
    </w:rPr>
  </w:style>
  <w:style w:type="paragraph" w:styleId="Titre3">
    <w:name w:val="heading 3"/>
    <w:basedOn w:val="Normal"/>
    <w:next w:val="Normal"/>
    <w:link w:val="Titre3Car"/>
    <w:uiPriority w:val="9"/>
    <w:semiHidden/>
    <w:unhideWhenUsed/>
    <w:qFormat/>
    <w:rsid w:val="00521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21C65"/>
    <w:pPr>
      <w:keepNext/>
      <w:keepLines/>
      <w:spacing w:before="40" w:after="0"/>
      <w:ind w:left="2160" w:firstLine="0"/>
      <w:jc w:val="left"/>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21C65"/>
    <w:pPr>
      <w:keepNext/>
      <w:keepLines/>
      <w:spacing w:before="40" w:after="0"/>
      <w:ind w:left="2880" w:firstLine="0"/>
      <w:jc w:val="left"/>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21C65"/>
    <w:pPr>
      <w:keepNext/>
      <w:keepLines/>
      <w:spacing w:before="40" w:after="0"/>
      <w:ind w:left="3600" w:firstLine="0"/>
      <w:jc w:val="left"/>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21C65"/>
    <w:pPr>
      <w:keepNext/>
      <w:keepLines/>
      <w:spacing w:before="40" w:after="0"/>
      <w:ind w:left="4320" w:firstLine="0"/>
      <w:jc w:val="left"/>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21C65"/>
    <w:pPr>
      <w:keepNext/>
      <w:keepLines/>
      <w:spacing w:before="40" w:after="0"/>
      <w:ind w:left="5040" w:firstLine="0"/>
      <w:jc w:val="left"/>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21C65"/>
    <w:pPr>
      <w:keepNext/>
      <w:keepLines/>
      <w:spacing w:before="40" w:after="0"/>
      <w:ind w:left="576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7Lgende">
    <w:name w:val="7) Légende"/>
    <w:basedOn w:val="Normal"/>
    <w:next w:val="0Texte"/>
    <w:rsid w:val="00855614"/>
    <w:pPr>
      <w:keepLines/>
      <w:spacing w:before="120" w:after="240"/>
      <w:ind w:firstLine="0"/>
      <w:jc w:val="center"/>
    </w:pPr>
    <w:rPr>
      <w:rFonts w:cstheme="minorHAnsi"/>
      <w:i/>
      <w:color w:val="767171" w:themeColor="background2" w:themeShade="80"/>
      <w:sz w:val="18"/>
      <w:szCs w:val="28"/>
    </w:rPr>
  </w:style>
  <w:style w:type="character" w:customStyle="1" w:styleId="Titre1Car">
    <w:name w:val="Titre 1 Car"/>
    <w:basedOn w:val="Policepardfaut"/>
    <w:link w:val="Titre1"/>
    <w:uiPriority w:val="9"/>
    <w:rsid w:val="00521C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21C65"/>
    <w:rPr>
      <w:rFonts w:eastAsia="Batang"/>
      <w:b/>
    </w:rPr>
  </w:style>
  <w:style w:type="character" w:customStyle="1" w:styleId="Titre3Car">
    <w:name w:val="Titre 3 Car"/>
    <w:basedOn w:val="Policepardfaut"/>
    <w:link w:val="Titre3"/>
    <w:uiPriority w:val="9"/>
    <w:rsid w:val="00521C6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21C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21C6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21C6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21C6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21C6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21C65"/>
    <w:rPr>
      <w:rFonts w:asciiTheme="majorHAnsi" w:eastAsiaTheme="majorEastAsia" w:hAnsiTheme="majorHAnsi" w:cstheme="majorBidi"/>
      <w:i/>
      <w:iCs/>
      <w:color w:val="272727" w:themeColor="text1" w:themeTint="D8"/>
      <w:sz w:val="21"/>
      <w:szCs w:val="21"/>
    </w:rPr>
  </w:style>
  <w:style w:type="paragraph" w:customStyle="1" w:styleId="4Important">
    <w:name w:val="4) Important"/>
    <w:basedOn w:val="Normal"/>
    <w:next w:val="0Texte"/>
    <w:rsid w:val="00EC768E"/>
    <w:pPr>
      <w:keepLines/>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firstLine="0"/>
      <w:jc w:val="center"/>
    </w:pPr>
    <w:rPr>
      <w:b/>
    </w:rPr>
  </w:style>
  <w:style w:type="paragraph" w:styleId="Rvision">
    <w:name w:val="Revision"/>
    <w:hidden/>
    <w:uiPriority w:val="99"/>
    <w:semiHidden/>
    <w:rsid w:val="00521C65"/>
    <w:pPr>
      <w:spacing w:after="0" w:line="240" w:lineRule="auto"/>
    </w:pPr>
    <w:rPr>
      <w:sz w:val="24"/>
      <w:szCs w:val="24"/>
    </w:rPr>
  </w:style>
  <w:style w:type="paragraph" w:customStyle="1" w:styleId="6Remarque">
    <w:name w:val="6) Remarque"/>
    <w:basedOn w:val="Normal"/>
    <w:next w:val="0Texte"/>
    <w:rsid w:val="004E606E"/>
    <w:pPr>
      <w:keepLines/>
      <w:pBdr>
        <w:left w:val="single" w:sz="48" w:space="4" w:color="BFBFBF" w:themeColor="background1" w:themeShade="BF"/>
      </w:pBdr>
      <w:autoSpaceDE w:val="0"/>
      <w:autoSpaceDN w:val="0"/>
      <w:adjustRightInd w:val="0"/>
      <w:spacing w:before="240" w:after="240" w:line="240" w:lineRule="atLeast"/>
      <w:ind w:firstLine="0"/>
    </w:pPr>
    <w:rPr>
      <w:rFonts w:eastAsiaTheme="minorHAnsi" w:cs="Calibri (Corps)"/>
      <w:i/>
      <w:color w:val="000000"/>
    </w:rPr>
  </w:style>
  <w:style w:type="paragraph" w:customStyle="1" w:styleId="0Texte">
    <w:name w:val="0) Texte"/>
    <w:basedOn w:val="Normal"/>
    <w:link w:val="0TexteCar"/>
    <w:rsid w:val="00EC768E"/>
    <w:pPr>
      <w:keepLines/>
      <w:spacing w:before="160"/>
    </w:pPr>
  </w:style>
  <w:style w:type="character" w:customStyle="1" w:styleId="0TexteCar">
    <w:name w:val="0) Texte Car"/>
    <w:basedOn w:val="Policepardfaut"/>
    <w:link w:val="0Texte"/>
    <w:rsid w:val="00EC768E"/>
    <w:rPr>
      <w:rFonts w:eastAsia="Batang"/>
    </w:rPr>
  </w:style>
  <w:style w:type="paragraph" w:customStyle="1" w:styleId="2Titre">
    <w:name w:val="2) Titre"/>
    <w:basedOn w:val="Normal"/>
    <w:next w:val="0Texte"/>
    <w:link w:val="2TitreCar"/>
    <w:rsid w:val="008D619A"/>
    <w:pPr>
      <w:pBdr>
        <w:top w:val="single" w:sz="4" w:space="1" w:color="auto"/>
        <w:left w:val="single" w:sz="4" w:space="4" w:color="auto"/>
        <w:bottom w:val="single" w:sz="4" w:space="1" w:color="auto"/>
        <w:right w:val="single" w:sz="4" w:space="4" w:color="auto"/>
      </w:pBdr>
      <w:spacing w:after="120"/>
      <w:ind w:firstLine="0"/>
      <w:jc w:val="center"/>
      <w:outlineLvl w:val="0"/>
    </w:pPr>
    <w:rPr>
      <w:rFonts w:ascii="Tahoma" w:hAnsi="Tahoma"/>
      <w:b/>
      <w:sz w:val="40"/>
    </w:rPr>
  </w:style>
  <w:style w:type="paragraph" w:customStyle="1" w:styleId="1Niv1">
    <w:name w:val="1) Niv. 1"/>
    <w:basedOn w:val="Normal"/>
    <w:next w:val="0Texte"/>
    <w:rsid w:val="00852616"/>
    <w:pPr>
      <w:keepNext/>
      <w:keepLines/>
      <w:spacing w:before="480" w:after="240"/>
      <w:ind w:left="567" w:hanging="567"/>
      <w:outlineLvl w:val="1"/>
    </w:pPr>
    <w:rPr>
      <w:rFonts w:ascii="Tahoma" w:hAnsi="Tahoma"/>
      <w:b/>
      <w:sz w:val="32"/>
    </w:rPr>
  </w:style>
  <w:style w:type="paragraph" w:customStyle="1" w:styleId="1Niv2">
    <w:name w:val="1) Niv. 2"/>
    <w:basedOn w:val="Normal"/>
    <w:next w:val="0Texte"/>
    <w:rsid w:val="00852616"/>
    <w:pPr>
      <w:keepNext/>
      <w:keepLines/>
      <w:spacing w:before="240" w:after="240"/>
      <w:ind w:left="924" w:hanging="357"/>
      <w:outlineLvl w:val="2"/>
    </w:pPr>
    <w:rPr>
      <w:rFonts w:ascii="Tahoma" w:hAnsi="Tahoma"/>
      <w:sz w:val="28"/>
    </w:rPr>
  </w:style>
  <w:style w:type="paragraph" w:customStyle="1" w:styleId="1Niv3">
    <w:name w:val="1) Niv. 3"/>
    <w:basedOn w:val="Normal"/>
    <w:next w:val="0Texte"/>
    <w:rsid w:val="00852616"/>
    <w:pPr>
      <w:keepNext/>
      <w:keepLines/>
      <w:spacing w:before="240" w:line="240" w:lineRule="auto"/>
      <w:ind w:left="1078" w:hanging="284"/>
      <w:outlineLvl w:val="3"/>
    </w:pPr>
    <w:rPr>
      <w:rFonts w:ascii="Tahoma" w:hAnsi="Tahoma"/>
      <w:sz w:val="24"/>
      <w:szCs w:val="24"/>
    </w:rPr>
  </w:style>
  <w:style w:type="paragraph" w:customStyle="1" w:styleId="3Prof">
    <w:name w:val="3) Prof'"/>
    <w:basedOn w:val="Normal"/>
    <w:next w:val="0Texte"/>
    <w:link w:val="3ProfCar"/>
    <w:rsid w:val="00931295"/>
    <w:pPr>
      <w:spacing w:after="240"/>
      <w:jc w:val="right"/>
    </w:pPr>
    <w:rPr>
      <w:rFonts w:asciiTheme="majorHAnsi" w:hAnsiTheme="majorHAnsi" w:cstheme="majorHAnsi"/>
      <w:i/>
      <w:iCs/>
      <w:sz w:val="24"/>
      <w:szCs w:val="28"/>
    </w:rPr>
  </w:style>
  <w:style w:type="character" w:customStyle="1" w:styleId="3ProfCar">
    <w:name w:val="3) Prof' Car"/>
    <w:basedOn w:val="Policepardfaut"/>
    <w:link w:val="3Prof"/>
    <w:rsid w:val="00931295"/>
    <w:rPr>
      <w:rFonts w:asciiTheme="majorHAnsi" w:eastAsia="Batang" w:hAnsiTheme="majorHAnsi" w:cstheme="majorHAnsi"/>
      <w:i/>
      <w:iCs/>
      <w:sz w:val="24"/>
      <w:szCs w:val="28"/>
    </w:rPr>
  </w:style>
  <w:style w:type="character" w:customStyle="1" w:styleId="2TitreCar">
    <w:name w:val="2) Titre Car"/>
    <w:basedOn w:val="Policepardfaut"/>
    <w:link w:val="2Titre"/>
    <w:rsid w:val="008D619A"/>
    <w:rPr>
      <w:rFonts w:ascii="Tahoma" w:eastAsia="Batang" w:hAnsi="Tahoma"/>
      <w:b/>
      <w:sz w:val="40"/>
    </w:rPr>
  </w:style>
  <w:style w:type="paragraph" w:customStyle="1" w:styleId="5Attention">
    <w:name w:val="5) Attention"/>
    <w:basedOn w:val="Normal"/>
    <w:next w:val="0Texte"/>
    <w:link w:val="5AttentionCar"/>
    <w:rsid w:val="00C97E4E"/>
    <w:pPr>
      <w:keepLines/>
      <w:pBdr>
        <w:top w:val="single" w:sz="4" w:space="1" w:color="auto"/>
        <w:left w:val="single" w:sz="48" w:space="4" w:color="auto"/>
        <w:bottom w:val="single" w:sz="4" w:space="1" w:color="auto"/>
        <w:right w:val="single" w:sz="4" w:space="4" w:color="auto"/>
      </w:pBdr>
      <w:shd w:val="clear" w:color="auto" w:fill="B4C6E7" w:themeFill="accent1" w:themeFillTint="66"/>
      <w:spacing w:before="240" w:after="240"/>
      <w:ind w:firstLine="0"/>
      <w:jc w:val="center"/>
    </w:pPr>
    <w:rPr>
      <w:rFonts w:eastAsia="Calibri"/>
      <w:b/>
    </w:rPr>
  </w:style>
  <w:style w:type="character" w:customStyle="1" w:styleId="5AttentionCar">
    <w:name w:val="5) Attention Car"/>
    <w:basedOn w:val="Policepardfaut"/>
    <w:link w:val="5Attention"/>
    <w:rsid w:val="00C97E4E"/>
    <w:rPr>
      <w:rFonts w:eastAsia="Calibri" w:cs="Calibri"/>
      <w:b/>
      <w:shd w:val="clear" w:color="auto" w:fill="B4C6E7" w:themeFill="accent1" w:themeFillTint="66"/>
    </w:rPr>
  </w:style>
  <w:style w:type="paragraph" w:customStyle="1" w:styleId="7Image">
    <w:name w:val="7) Image"/>
    <w:basedOn w:val="0Texte"/>
    <w:next w:val="7Lgende"/>
    <w:link w:val="7ImageCar"/>
    <w:rsid w:val="00855614"/>
    <w:pPr>
      <w:keepNext/>
      <w:spacing w:after="120"/>
      <w:ind w:firstLine="0"/>
      <w:jc w:val="center"/>
    </w:pPr>
  </w:style>
  <w:style w:type="character" w:customStyle="1" w:styleId="7ImageCar">
    <w:name w:val="7) Image Car"/>
    <w:basedOn w:val="0TexteCar"/>
    <w:link w:val="7Image"/>
    <w:rsid w:val="00855614"/>
    <w:rPr>
      <w:rFonts w:eastAsia="Batang"/>
    </w:rPr>
  </w:style>
  <w:style w:type="paragraph" w:styleId="En-tte">
    <w:name w:val="header"/>
    <w:basedOn w:val="Normal"/>
    <w:link w:val="En-tteCar"/>
    <w:uiPriority w:val="99"/>
    <w:unhideWhenUsed/>
    <w:rsid w:val="00DF6FD5"/>
    <w:pPr>
      <w:tabs>
        <w:tab w:val="center" w:pos="4536"/>
        <w:tab w:val="right" w:pos="9072"/>
      </w:tabs>
      <w:spacing w:after="0" w:line="240" w:lineRule="auto"/>
    </w:pPr>
  </w:style>
  <w:style w:type="character" w:customStyle="1" w:styleId="En-tteCar">
    <w:name w:val="En-tête Car"/>
    <w:basedOn w:val="Policepardfaut"/>
    <w:link w:val="En-tte"/>
    <w:uiPriority w:val="99"/>
    <w:rsid w:val="00DF6FD5"/>
    <w:rPr>
      <w:rFonts w:eastAsia="Batang"/>
    </w:rPr>
  </w:style>
  <w:style w:type="paragraph" w:styleId="Pieddepage">
    <w:name w:val="footer"/>
    <w:basedOn w:val="Normal"/>
    <w:link w:val="PieddepageCar"/>
    <w:uiPriority w:val="99"/>
    <w:unhideWhenUsed/>
    <w:rsid w:val="00DF6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FD5"/>
    <w:rPr>
      <w:rFonts w:eastAsia="Batang"/>
    </w:rPr>
  </w:style>
  <w:style w:type="paragraph" w:customStyle="1" w:styleId="q">
    <w:name w:val="q"/>
    <w:next w:val="Normal"/>
    <w:rsid w:val="00EB6036"/>
    <w:pPr>
      <w:spacing w:after="0" w:line="276" w:lineRule="auto"/>
    </w:pPr>
    <w:rPr>
      <w:rFonts w:ascii="Lucida Bright" w:hAnsi="Lucida Bright" w:cs="Times New Roman"/>
      <w:b/>
      <w:sz w:val="24"/>
      <w:szCs w:val="36"/>
      <w:u w:val="single"/>
    </w:rPr>
  </w:style>
  <w:style w:type="paragraph" w:styleId="Paragraphedeliste">
    <w:name w:val="List Paragraph"/>
    <w:basedOn w:val="Normal"/>
    <w:link w:val="ParagraphedelisteCar"/>
    <w:uiPriority w:val="34"/>
    <w:rsid w:val="00EB6036"/>
    <w:pPr>
      <w:spacing w:after="0" w:line="240" w:lineRule="auto"/>
      <w:ind w:left="720" w:firstLine="0"/>
      <w:contextualSpacing/>
    </w:pPr>
    <w:rPr>
      <w:rFonts w:eastAsiaTheme="minorHAnsi"/>
    </w:rPr>
  </w:style>
  <w:style w:type="table" w:styleId="Grilledutableau">
    <w:name w:val="Table Grid"/>
    <w:basedOn w:val="TableauNormal"/>
    <w:uiPriority w:val="59"/>
    <w:rsid w:val="00EB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Policepardfaut"/>
    <w:rsid w:val="00EB6036"/>
  </w:style>
  <w:style w:type="paragraph" w:customStyle="1" w:styleId="nonc">
    <w:name w:val="Énoncé"/>
    <w:basedOn w:val="0Texte"/>
    <w:next w:val="Item"/>
    <w:link w:val="noncCar"/>
    <w:qFormat/>
    <w:rsid w:val="00040C0B"/>
    <w:pPr>
      <w:keepNext/>
      <w:keepLines w:val="0"/>
      <w:spacing w:before="0"/>
      <w:ind w:firstLine="0"/>
    </w:pPr>
    <w:rPr>
      <w:rFonts w:ascii="Tahoma" w:hAnsi="Tahoma"/>
      <w:sz w:val="21"/>
    </w:rPr>
  </w:style>
  <w:style w:type="paragraph" w:customStyle="1" w:styleId="Question">
    <w:name w:val="Question"/>
    <w:basedOn w:val="2Titre"/>
    <w:next w:val="nonc"/>
    <w:link w:val="QuestionCar"/>
    <w:qFormat/>
    <w:rsid w:val="008141A8"/>
    <w:pPr>
      <w:keepNext/>
      <w:pBdr>
        <w:top w:val="none" w:sz="0" w:space="0" w:color="auto"/>
        <w:left w:val="none" w:sz="0" w:space="0" w:color="auto"/>
        <w:bottom w:val="none" w:sz="0" w:space="0" w:color="auto"/>
        <w:right w:val="none" w:sz="0" w:space="0" w:color="auto"/>
      </w:pBdr>
      <w:spacing w:before="600"/>
      <w:jc w:val="both"/>
      <w:outlineLvl w:val="1"/>
    </w:pPr>
    <w:rPr>
      <w:rFonts w:ascii="Arial" w:hAnsi="Arial"/>
      <w:bCs/>
      <w:sz w:val="24"/>
      <w:szCs w:val="24"/>
      <w:u w:val="single"/>
    </w:rPr>
  </w:style>
  <w:style w:type="character" w:customStyle="1" w:styleId="noncCar">
    <w:name w:val="Énoncé Car"/>
    <w:basedOn w:val="0TexteCar"/>
    <w:link w:val="nonc"/>
    <w:rsid w:val="00040C0B"/>
    <w:rPr>
      <w:rFonts w:ascii="Tahoma" w:eastAsia="Batang" w:hAnsi="Tahoma"/>
      <w:sz w:val="21"/>
    </w:rPr>
  </w:style>
  <w:style w:type="paragraph" w:customStyle="1" w:styleId="Item">
    <w:name w:val="Item"/>
    <w:basedOn w:val="Paragraphedeliste"/>
    <w:next w:val="Rponse"/>
    <w:link w:val="ItemCar"/>
    <w:qFormat/>
    <w:rsid w:val="00C01D30"/>
    <w:pPr>
      <w:keepLines/>
      <w:numPr>
        <w:numId w:val="7"/>
      </w:numPr>
      <w:spacing w:after="80"/>
      <w:ind w:left="714" w:hanging="357"/>
      <w:contextualSpacing w:val="0"/>
    </w:pPr>
    <w:rPr>
      <w:rFonts w:ascii="Verdana" w:hAnsi="Verdana"/>
      <w:sz w:val="19"/>
    </w:rPr>
  </w:style>
  <w:style w:type="character" w:customStyle="1" w:styleId="QuestionCar">
    <w:name w:val="Question Car"/>
    <w:basedOn w:val="noncCar"/>
    <w:link w:val="Question"/>
    <w:rsid w:val="008141A8"/>
    <w:rPr>
      <w:rFonts w:ascii="Arial" w:eastAsia="Batang" w:hAnsi="Arial"/>
      <w:b/>
      <w:bCs/>
      <w:sz w:val="24"/>
      <w:szCs w:val="24"/>
      <w:u w:val="single"/>
    </w:rPr>
  </w:style>
  <w:style w:type="character" w:customStyle="1" w:styleId="ParagraphedelisteCar">
    <w:name w:val="Paragraphe de liste Car"/>
    <w:basedOn w:val="Policepardfaut"/>
    <w:link w:val="Paragraphedeliste"/>
    <w:uiPriority w:val="34"/>
    <w:rsid w:val="00AD263C"/>
  </w:style>
  <w:style w:type="character" w:customStyle="1" w:styleId="ItemCar">
    <w:name w:val="Item Car"/>
    <w:basedOn w:val="ParagraphedelisteCar"/>
    <w:link w:val="Item"/>
    <w:rsid w:val="00C01D30"/>
    <w:rPr>
      <w:rFonts w:ascii="Verdana" w:hAnsi="Verdana"/>
      <w:sz w:val="19"/>
    </w:rPr>
  </w:style>
  <w:style w:type="paragraph" w:customStyle="1" w:styleId="Rponse">
    <w:name w:val="Réponse"/>
    <w:basedOn w:val="nonc"/>
    <w:next w:val="Question"/>
    <w:link w:val="RponseCar"/>
    <w:qFormat/>
    <w:rsid w:val="006B79D0"/>
    <w:pPr>
      <w:spacing w:before="160"/>
    </w:pPr>
    <w:rPr>
      <w:rFonts w:ascii="Verdana" w:hAnsi="Verdana"/>
      <w:sz w:val="20"/>
    </w:rPr>
  </w:style>
  <w:style w:type="character" w:customStyle="1" w:styleId="RponseCar">
    <w:name w:val="Réponse Car"/>
    <w:basedOn w:val="noncCar"/>
    <w:link w:val="Rponse"/>
    <w:rsid w:val="006B79D0"/>
    <w:rPr>
      <w:rFonts w:ascii="Verdana" w:eastAsia="Batang" w:hAnsi="Verdana"/>
      <w:sz w:val="20"/>
    </w:rPr>
  </w:style>
  <w:style w:type="paragraph" w:customStyle="1" w:styleId="Titres">
    <w:name w:val="Titres"/>
    <w:basedOn w:val="Normal"/>
    <w:next w:val="Normal"/>
    <w:link w:val="TitresCar"/>
    <w:qFormat/>
    <w:rsid w:val="00BA3AA7"/>
    <w:pPr>
      <w:pageBreakBefore/>
      <w:pBdr>
        <w:top w:val="single" w:sz="4" w:space="1" w:color="auto"/>
        <w:left w:val="single" w:sz="4" w:space="4" w:color="auto"/>
        <w:bottom w:val="single" w:sz="4" w:space="1" w:color="auto"/>
        <w:right w:val="single" w:sz="4" w:space="4" w:color="auto"/>
      </w:pBdr>
      <w:shd w:val="clear" w:color="auto" w:fill="ECECEC"/>
      <w:spacing w:after="360" w:line="240" w:lineRule="auto"/>
      <w:ind w:firstLine="0"/>
      <w:jc w:val="center"/>
      <w:outlineLvl w:val="0"/>
    </w:pPr>
    <w:rPr>
      <w:rFonts w:ascii="Arial" w:hAnsi="Arial"/>
      <w:b/>
      <w:bCs/>
      <w:sz w:val="30"/>
      <w:szCs w:val="28"/>
    </w:rPr>
  </w:style>
  <w:style w:type="character" w:customStyle="1" w:styleId="TitresCar">
    <w:name w:val="Titres Car"/>
    <w:basedOn w:val="Policepardfaut"/>
    <w:link w:val="Titres"/>
    <w:rsid w:val="00BA3AA7"/>
    <w:rPr>
      <w:rFonts w:ascii="Arial" w:eastAsia="Batang" w:hAnsi="Arial" w:cs="Calibri"/>
      <w:b/>
      <w:bCs/>
      <w:sz w:val="30"/>
      <w:szCs w:val="28"/>
      <w:shd w:val="clear" w:color="auto" w:fill="ECECEC"/>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CTvLBkKMXs5XHHub/J4npF/WHA==">AMUW2mU6oB1tSKJVKr2A4clADYiiJhq2A9fT/6zpBK6rTG0uB2f5aKOCHSZvwJD41FTGf34dXg7fIFCPYsZBu1dhWv8YgyySl1EwUCjgsRDr6qE6kyGXp9JK2tjv0rcvIxaYtK4mSKRe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1780</Words>
  <Characters>9795</Characters>
  <Application>Microsoft Office Word</Application>
  <DocSecurity>0</DocSecurity>
  <Lines>81</Lines>
  <Paragraphs>23</Paragraphs>
  <ScaleCrop>false</ScaleCrop>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 Brunetti</dc:creator>
  <cp:lastModifiedBy>Fany Bataillon</cp:lastModifiedBy>
  <cp:revision>3</cp:revision>
  <dcterms:created xsi:type="dcterms:W3CDTF">2022-08-21T16:27:00Z</dcterms:created>
  <dcterms:modified xsi:type="dcterms:W3CDTF">2023-03-12T20:28:00Z</dcterms:modified>
</cp:coreProperties>
</file>