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96B567" w14:textId="3AE8797A" w:rsidR="00F76693" w:rsidRDefault="00217806" w:rsidP="00F76693">
      <w:pPr>
        <w:pStyle w:val="NormalWeb"/>
        <w:jc w:val="center"/>
        <w:rPr>
          <w:rStyle w:val="lev"/>
          <w:rFonts w:asciiTheme="minorHAnsi" w:hAnsiTheme="minorHAnsi" w:cstheme="minorHAnsi"/>
          <w:sz w:val="22"/>
        </w:rPr>
      </w:pPr>
      <w:r w:rsidRPr="00217806">
        <w:rPr>
          <w:rFonts w:asciiTheme="minorHAnsi" w:hAnsiTheme="minorHAnsi" w:cstheme="minorHAnsi"/>
          <w:b/>
          <w:bCs/>
          <w:noProof/>
          <w:sz w:val="22"/>
        </w:rPr>
        <w:drawing>
          <wp:inline distT="0" distB="0" distL="0" distR="0" wp14:anchorId="038910A5" wp14:editId="2E4A7AD2">
            <wp:extent cx="4023360" cy="334393"/>
            <wp:effectExtent l="0" t="0" r="0" b="8890"/>
            <wp:docPr id="10" name="Image 9">
              <a:extLst xmlns:a="http://schemas.openxmlformats.org/drawingml/2006/main">
                <a:ext uri="{FF2B5EF4-FFF2-40B4-BE49-F238E27FC236}">
                  <a16:creationId xmlns:a16="http://schemas.microsoft.com/office/drawing/2014/main" id="{83741463-0637-4B09-847D-EE7F19D2D21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9">
                      <a:extLst>
                        <a:ext uri="{FF2B5EF4-FFF2-40B4-BE49-F238E27FC236}">
                          <a16:creationId xmlns:a16="http://schemas.microsoft.com/office/drawing/2014/main" id="{83741463-0637-4B09-847D-EE7F19D2D21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t="25143" b="3749"/>
                    <a:stretch/>
                  </pic:blipFill>
                  <pic:spPr>
                    <a:xfrm>
                      <a:off x="0" y="0"/>
                      <a:ext cx="4071832" cy="338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A1DA9" w14:textId="77777777" w:rsidR="008D1E8A" w:rsidRPr="008D1E8A" w:rsidRDefault="008D1E8A" w:rsidP="008D1E8A">
      <w:pPr>
        <w:pStyle w:val="NormalWeb"/>
        <w:jc w:val="both"/>
        <w:rPr>
          <w:rFonts w:asciiTheme="minorHAnsi" w:hAnsiTheme="minorHAnsi" w:cstheme="minorHAnsi"/>
          <w:sz w:val="22"/>
        </w:rPr>
      </w:pPr>
      <w:r w:rsidRPr="008D1E8A">
        <w:rPr>
          <w:rStyle w:val="lev"/>
          <w:rFonts w:asciiTheme="minorHAnsi" w:hAnsiTheme="minorHAnsi" w:cstheme="minorHAnsi"/>
          <w:sz w:val="22"/>
        </w:rPr>
        <w:t>Titre :</w:t>
      </w:r>
      <w:r w:rsidRPr="008D1E8A">
        <w:rPr>
          <w:rFonts w:asciiTheme="minorHAnsi" w:hAnsiTheme="minorHAnsi" w:cstheme="minorHAnsi"/>
          <w:sz w:val="22"/>
        </w:rPr>
        <w:t xml:space="preserve"> Développement de méthodes chromatographiques sur gouttes de sang séché (DBS) pour l’étude du dialogue tissu adipeux–foie et la modélisation de la lipolyse adipocytaire</w:t>
      </w:r>
    </w:p>
    <w:p w14:paraId="0210D64F" w14:textId="77777777" w:rsidR="008D1E8A" w:rsidRDefault="008D1E8A" w:rsidP="008D1E8A">
      <w:pPr>
        <w:pStyle w:val="NormalWeb"/>
        <w:spacing w:before="0" w:beforeAutospacing="0" w:after="0" w:afterAutospacing="0"/>
        <w:jc w:val="both"/>
        <w:rPr>
          <w:rStyle w:val="lev"/>
          <w:rFonts w:asciiTheme="minorHAnsi" w:hAnsiTheme="minorHAnsi" w:cstheme="minorHAnsi"/>
          <w:sz w:val="22"/>
        </w:rPr>
      </w:pPr>
      <w:r w:rsidRPr="008D1E8A">
        <w:rPr>
          <w:rStyle w:val="lev"/>
          <w:rFonts w:asciiTheme="minorHAnsi" w:hAnsiTheme="minorHAnsi" w:cstheme="minorHAnsi"/>
          <w:sz w:val="22"/>
        </w:rPr>
        <w:t>Contexte</w:t>
      </w:r>
    </w:p>
    <w:p w14:paraId="5AFA361E" w14:textId="2404AB48" w:rsidR="008D1E8A" w:rsidRPr="008D1E8A" w:rsidRDefault="008D1E8A" w:rsidP="008D1E8A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</w:rPr>
      </w:pPr>
      <w:r w:rsidRPr="008D1E8A">
        <w:rPr>
          <w:rFonts w:asciiTheme="minorHAnsi" w:hAnsiTheme="minorHAnsi" w:cstheme="minorHAnsi"/>
          <w:sz w:val="22"/>
        </w:rPr>
        <w:t xml:space="preserve">L’obésité constitue un facteur majeur de développement du diabète de type 2 et de la maladie hépatique associée à un dysfonctionnement métabolique (MASLD/MASH). La lipolyse adipocytaire conduit à la libération d’acides gras </w:t>
      </w:r>
      <w:r w:rsidR="00802325">
        <w:rPr>
          <w:rFonts w:asciiTheme="minorHAnsi" w:hAnsiTheme="minorHAnsi" w:cstheme="minorHAnsi"/>
          <w:sz w:val="22"/>
        </w:rPr>
        <w:t>non estérifiés</w:t>
      </w:r>
      <w:r w:rsidRPr="008D1E8A">
        <w:rPr>
          <w:rFonts w:asciiTheme="minorHAnsi" w:hAnsiTheme="minorHAnsi" w:cstheme="minorHAnsi"/>
          <w:sz w:val="22"/>
        </w:rPr>
        <w:t xml:space="preserve"> et de glycérol, captés par le foie où ils alimentent la β-oxydation, la cétogenèse et l’accumulation de triglycérides. Malgré leur rôle central dans la physiopathologie métabolique, les cinétiques des échanges entre tissu adipeux et foie demeurent insuffisamment caractérisées. L’utilisation du CL316,243, agoniste β3-adrénergique induisant spécifiquement la lipolyse adipocytaire chez la souris, constitue un modèle pertinent pour étudier ces mécanismes. Parallèlement, les </w:t>
      </w:r>
      <w:r w:rsidR="00802325">
        <w:rPr>
          <w:rFonts w:asciiTheme="minorHAnsi" w:hAnsiTheme="minorHAnsi" w:cstheme="minorHAnsi"/>
          <w:sz w:val="22"/>
        </w:rPr>
        <w:t>méthodes</w:t>
      </w:r>
      <w:r w:rsidRPr="008D1E8A">
        <w:rPr>
          <w:rFonts w:asciiTheme="minorHAnsi" w:hAnsiTheme="minorHAnsi" w:cstheme="minorHAnsi"/>
          <w:sz w:val="22"/>
        </w:rPr>
        <w:t xml:space="preserve"> de micro-prélèvement sur gouttes de sang séché (</w:t>
      </w:r>
      <w:proofErr w:type="spellStart"/>
      <w:r w:rsidRPr="008D1E8A">
        <w:rPr>
          <w:rFonts w:asciiTheme="minorHAnsi" w:hAnsiTheme="minorHAnsi" w:cstheme="minorHAnsi"/>
          <w:sz w:val="22"/>
        </w:rPr>
        <w:t>Dried</w:t>
      </w:r>
      <w:proofErr w:type="spellEnd"/>
      <w:r w:rsidRPr="008D1E8A">
        <w:rPr>
          <w:rFonts w:asciiTheme="minorHAnsi" w:hAnsiTheme="minorHAnsi" w:cstheme="minorHAnsi"/>
          <w:sz w:val="22"/>
        </w:rPr>
        <w:t xml:space="preserve"> Blood Spots, DBS) offrent l’opportunité de réaliser des prélèvements répétés à partir de très faibles volumes sanguins, facilitant l’étude </w:t>
      </w:r>
      <w:r w:rsidR="00273108">
        <w:rPr>
          <w:rFonts w:asciiTheme="minorHAnsi" w:hAnsiTheme="minorHAnsi" w:cstheme="minorHAnsi"/>
          <w:sz w:val="22"/>
        </w:rPr>
        <w:t>de la cinétique</w:t>
      </w:r>
      <w:r w:rsidRPr="008D1E8A">
        <w:rPr>
          <w:rFonts w:asciiTheme="minorHAnsi" w:hAnsiTheme="minorHAnsi" w:cstheme="minorHAnsi"/>
          <w:sz w:val="22"/>
        </w:rPr>
        <w:t xml:space="preserve"> des réponses métaboliques.</w:t>
      </w:r>
      <w:r w:rsidR="0075501C">
        <w:rPr>
          <w:rFonts w:asciiTheme="minorHAnsi" w:hAnsiTheme="minorHAnsi" w:cstheme="minorHAnsi"/>
          <w:sz w:val="22"/>
        </w:rPr>
        <w:t xml:space="preserve"> Ce mode de prélèvement </w:t>
      </w:r>
      <w:r w:rsidR="00FA22C9">
        <w:rPr>
          <w:rFonts w:asciiTheme="minorHAnsi" w:hAnsiTheme="minorHAnsi" w:cstheme="minorHAnsi"/>
          <w:sz w:val="22"/>
        </w:rPr>
        <w:t xml:space="preserve">ouvre </w:t>
      </w:r>
    </w:p>
    <w:p w14:paraId="4BFAF730" w14:textId="77777777" w:rsidR="008D1E8A" w:rsidRDefault="008D1E8A" w:rsidP="008D1E8A">
      <w:pPr>
        <w:pStyle w:val="NormalWeb"/>
        <w:spacing w:before="0" w:beforeAutospacing="0" w:after="0" w:afterAutospacing="0"/>
        <w:jc w:val="both"/>
        <w:rPr>
          <w:rStyle w:val="lev"/>
          <w:rFonts w:asciiTheme="minorHAnsi" w:hAnsiTheme="minorHAnsi" w:cstheme="minorHAnsi"/>
          <w:sz w:val="22"/>
        </w:rPr>
      </w:pPr>
    </w:p>
    <w:p w14:paraId="75E9D88E" w14:textId="77777777" w:rsidR="008D1E8A" w:rsidRPr="008D1E8A" w:rsidRDefault="008D1E8A" w:rsidP="008D1E8A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</w:rPr>
      </w:pPr>
      <w:r w:rsidRPr="008D1E8A">
        <w:rPr>
          <w:rStyle w:val="lev"/>
          <w:rFonts w:asciiTheme="minorHAnsi" w:hAnsiTheme="minorHAnsi" w:cstheme="minorHAnsi"/>
          <w:sz w:val="22"/>
        </w:rPr>
        <w:t>Objectif du projet</w:t>
      </w:r>
    </w:p>
    <w:p w14:paraId="2725C3E9" w14:textId="439EC67A" w:rsidR="008D1E8A" w:rsidRPr="008D1E8A" w:rsidRDefault="008D1E8A" w:rsidP="008D1E8A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</w:rPr>
      </w:pPr>
      <w:r w:rsidRPr="008D1E8A">
        <w:rPr>
          <w:rFonts w:asciiTheme="minorHAnsi" w:hAnsiTheme="minorHAnsi" w:cstheme="minorHAnsi"/>
          <w:sz w:val="22"/>
        </w:rPr>
        <w:t xml:space="preserve">L’objectif du projet est de développer des méthodes chromatographiques (LC-MS/MS et GC-FID) </w:t>
      </w:r>
      <w:r w:rsidR="00273108">
        <w:rPr>
          <w:rFonts w:asciiTheme="minorHAnsi" w:hAnsiTheme="minorHAnsi" w:cstheme="minorHAnsi"/>
          <w:sz w:val="22"/>
        </w:rPr>
        <w:t>pour</w:t>
      </w:r>
      <w:r w:rsidRPr="008D1E8A">
        <w:rPr>
          <w:rFonts w:asciiTheme="minorHAnsi" w:hAnsiTheme="minorHAnsi" w:cstheme="minorHAnsi"/>
          <w:sz w:val="22"/>
        </w:rPr>
        <w:t xml:space="preserve"> </w:t>
      </w:r>
      <w:r w:rsidR="00802325">
        <w:rPr>
          <w:rFonts w:asciiTheme="minorHAnsi" w:hAnsiTheme="minorHAnsi" w:cstheme="minorHAnsi"/>
          <w:sz w:val="22"/>
        </w:rPr>
        <w:t>quantifier les substances impliquées dans</w:t>
      </w:r>
      <w:r w:rsidRPr="008D1E8A">
        <w:rPr>
          <w:rFonts w:asciiTheme="minorHAnsi" w:hAnsiTheme="minorHAnsi" w:cstheme="minorHAnsi"/>
          <w:sz w:val="22"/>
        </w:rPr>
        <w:t xml:space="preserve"> les flux métaboliques </w:t>
      </w:r>
      <w:r w:rsidR="00802325">
        <w:rPr>
          <w:rFonts w:asciiTheme="minorHAnsi" w:hAnsiTheme="minorHAnsi" w:cstheme="minorHAnsi"/>
          <w:sz w:val="22"/>
        </w:rPr>
        <w:t>du</w:t>
      </w:r>
      <w:r w:rsidRPr="008D1E8A">
        <w:rPr>
          <w:rFonts w:asciiTheme="minorHAnsi" w:hAnsiTheme="minorHAnsi" w:cstheme="minorHAnsi"/>
          <w:sz w:val="22"/>
        </w:rPr>
        <w:t xml:space="preserve"> dialogue tissu adipeux–foie lors de la lipolyse adipocytaire.</w:t>
      </w:r>
    </w:p>
    <w:p w14:paraId="6ED99317" w14:textId="283A404F" w:rsidR="008D1E8A" w:rsidRDefault="008D1E8A" w:rsidP="008D1E8A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</w:rPr>
      </w:pPr>
      <w:r w:rsidRPr="008D1E8A">
        <w:rPr>
          <w:rFonts w:asciiTheme="minorHAnsi" w:hAnsiTheme="minorHAnsi" w:cstheme="minorHAnsi"/>
          <w:sz w:val="22"/>
        </w:rPr>
        <w:t xml:space="preserve">Sur le plan analytique, le projet vise à valider une méthode LC-MS/MS </w:t>
      </w:r>
      <w:r w:rsidR="00273108" w:rsidRPr="008D1E8A">
        <w:rPr>
          <w:rFonts w:asciiTheme="minorHAnsi" w:hAnsiTheme="minorHAnsi" w:cstheme="minorHAnsi"/>
          <w:sz w:val="22"/>
        </w:rPr>
        <w:t xml:space="preserve">(Shimadzu 8045) </w:t>
      </w:r>
      <w:r w:rsidR="00273108">
        <w:rPr>
          <w:rFonts w:asciiTheme="minorHAnsi" w:hAnsiTheme="minorHAnsi" w:cstheme="minorHAnsi"/>
          <w:sz w:val="22"/>
        </w:rPr>
        <w:t>multiparamétrique</w:t>
      </w:r>
      <w:r w:rsidRPr="008D1E8A">
        <w:rPr>
          <w:rFonts w:asciiTheme="minorHAnsi" w:hAnsiTheme="minorHAnsi" w:cstheme="minorHAnsi"/>
          <w:sz w:val="22"/>
        </w:rPr>
        <w:t xml:space="preserve"> </w:t>
      </w:r>
      <w:r w:rsidR="00C06E30">
        <w:rPr>
          <w:rFonts w:asciiTheme="minorHAnsi" w:hAnsiTheme="minorHAnsi" w:cstheme="minorHAnsi"/>
          <w:sz w:val="22"/>
        </w:rPr>
        <w:t>pour</w:t>
      </w:r>
      <w:r w:rsidRPr="008D1E8A">
        <w:rPr>
          <w:rFonts w:asciiTheme="minorHAnsi" w:hAnsiTheme="minorHAnsi" w:cstheme="minorHAnsi"/>
          <w:sz w:val="22"/>
        </w:rPr>
        <w:t xml:space="preserve"> la quantification simultanée du CL316,243, du glycérol et </w:t>
      </w:r>
      <w:r w:rsidR="0058331D">
        <w:rPr>
          <w:rFonts w:asciiTheme="minorHAnsi" w:hAnsiTheme="minorHAnsi" w:cstheme="minorHAnsi"/>
          <w:sz w:val="22"/>
        </w:rPr>
        <w:t xml:space="preserve">du couple </w:t>
      </w:r>
      <w:r w:rsidRPr="008D1E8A">
        <w:rPr>
          <w:rFonts w:asciiTheme="minorHAnsi" w:hAnsiTheme="minorHAnsi" w:cstheme="minorHAnsi"/>
          <w:sz w:val="22"/>
        </w:rPr>
        <w:t>β-hydroxybutyrate</w:t>
      </w:r>
      <w:r w:rsidR="0058331D">
        <w:rPr>
          <w:rFonts w:asciiTheme="minorHAnsi" w:hAnsiTheme="minorHAnsi" w:cstheme="minorHAnsi"/>
          <w:sz w:val="22"/>
        </w:rPr>
        <w:t>/</w:t>
      </w:r>
      <w:r w:rsidRPr="008D1E8A">
        <w:rPr>
          <w:rFonts w:asciiTheme="minorHAnsi" w:hAnsiTheme="minorHAnsi" w:cstheme="minorHAnsi"/>
          <w:sz w:val="22"/>
        </w:rPr>
        <w:t xml:space="preserve">acétoacétate. Cette approche sera complétée par la </w:t>
      </w:r>
      <w:r w:rsidR="0058331D">
        <w:rPr>
          <w:rFonts w:asciiTheme="minorHAnsi" w:hAnsiTheme="minorHAnsi" w:cstheme="minorHAnsi"/>
          <w:sz w:val="22"/>
        </w:rPr>
        <w:t xml:space="preserve">détermination des </w:t>
      </w:r>
      <w:r w:rsidRPr="008D1E8A">
        <w:rPr>
          <w:rFonts w:asciiTheme="minorHAnsi" w:hAnsiTheme="minorHAnsi" w:cstheme="minorHAnsi"/>
          <w:sz w:val="22"/>
        </w:rPr>
        <w:t xml:space="preserve">acides gras circulants </w:t>
      </w:r>
      <w:r w:rsidR="0058331D">
        <w:rPr>
          <w:rFonts w:asciiTheme="minorHAnsi" w:hAnsiTheme="minorHAnsi" w:cstheme="minorHAnsi"/>
          <w:sz w:val="22"/>
        </w:rPr>
        <w:t xml:space="preserve">non estérifiés </w:t>
      </w:r>
      <w:r w:rsidRPr="008D1E8A">
        <w:rPr>
          <w:rFonts w:asciiTheme="minorHAnsi" w:hAnsiTheme="minorHAnsi" w:cstheme="minorHAnsi"/>
          <w:sz w:val="22"/>
        </w:rPr>
        <w:t xml:space="preserve">par GC-FID (Shimadzu Nexis 2030), avec une attention particulière portée aux acides gras saturés, </w:t>
      </w:r>
      <w:proofErr w:type="spellStart"/>
      <w:r w:rsidRPr="008D1E8A">
        <w:rPr>
          <w:rFonts w:asciiTheme="minorHAnsi" w:hAnsiTheme="minorHAnsi" w:cstheme="minorHAnsi"/>
          <w:sz w:val="22"/>
        </w:rPr>
        <w:t>mono-insaturés</w:t>
      </w:r>
      <w:proofErr w:type="spellEnd"/>
      <w:r w:rsidRPr="008D1E8A">
        <w:rPr>
          <w:rFonts w:asciiTheme="minorHAnsi" w:hAnsiTheme="minorHAnsi" w:cstheme="minorHAnsi"/>
          <w:sz w:val="22"/>
        </w:rPr>
        <w:t xml:space="preserve"> et polyinsaturés libérés lors de la lipolyse.</w:t>
      </w:r>
      <w:r w:rsidR="0058331D">
        <w:rPr>
          <w:rFonts w:asciiTheme="minorHAnsi" w:hAnsiTheme="minorHAnsi" w:cstheme="minorHAnsi"/>
          <w:sz w:val="22"/>
        </w:rPr>
        <w:t xml:space="preserve"> Ces mesures seront confrontées aux méthodes colorimétriques déjà en place dans le laboratoire.</w:t>
      </w:r>
      <w:r w:rsidRPr="008D1E8A">
        <w:rPr>
          <w:rFonts w:asciiTheme="minorHAnsi" w:hAnsiTheme="minorHAnsi" w:cstheme="minorHAnsi"/>
          <w:sz w:val="22"/>
        </w:rPr>
        <w:t xml:space="preserve"> Les validations analytiques seront réalisées conformément aux recommandations EMA.</w:t>
      </w:r>
    </w:p>
    <w:p w14:paraId="2BECC434" w14:textId="67C79489" w:rsidR="008D1E8A" w:rsidRPr="008D1E8A" w:rsidRDefault="00EA2A68" w:rsidP="00EA2A68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</w:rPr>
      </w:pPr>
      <w:r w:rsidRPr="00EA2A68">
        <w:rPr>
          <w:rFonts w:asciiTheme="minorHAnsi" w:hAnsiTheme="minorHAnsi" w:cstheme="minorHAnsi"/>
          <w:sz w:val="22"/>
        </w:rPr>
        <w:t xml:space="preserve">Les méthodes analytiques développées seront ensuite transposées à </w:t>
      </w:r>
      <w:r w:rsidR="00D00D02">
        <w:rPr>
          <w:rFonts w:asciiTheme="minorHAnsi" w:hAnsiTheme="minorHAnsi" w:cstheme="minorHAnsi"/>
          <w:sz w:val="22"/>
        </w:rPr>
        <w:t>une</w:t>
      </w:r>
      <w:r w:rsidRPr="00EA2A68">
        <w:rPr>
          <w:rFonts w:asciiTheme="minorHAnsi" w:hAnsiTheme="minorHAnsi" w:cstheme="minorHAnsi"/>
          <w:sz w:val="22"/>
        </w:rPr>
        <w:t xml:space="preserve"> matrice DBS</w:t>
      </w:r>
      <w:r w:rsidR="00D00D02">
        <w:rPr>
          <w:rFonts w:asciiTheme="minorHAnsi" w:hAnsiTheme="minorHAnsi" w:cstheme="minorHAnsi"/>
          <w:sz w:val="22"/>
        </w:rPr>
        <w:t xml:space="preserve">. </w:t>
      </w:r>
      <w:r w:rsidR="00D00D02" w:rsidRPr="00D00D02">
        <w:rPr>
          <w:rFonts w:asciiTheme="minorHAnsi" w:hAnsiTheme="minorHAnsi" w:cstheme="minorHAnsi"/>
          <w:sz w:val="22"/>
        </w:rPr>
        <w:t xml:space="preserve">Cette approche </w:t>
      </w:r>
      <w:r w:rsidR="00D00D02">
        <w:rPr>
          <w:rFonts w:asciiTheme="minorHAnsi" w:hAnsiTheme="minorHAnsi" w:cstheme="minorHAnsi"/>
          <w:sz w:val="22"/>
        </w:rPr>
        <w:t>autorise des</w:t>
      </w:r>
      <w:r w:rsidR="00D00D02" w:rsidRPr="00D00D02">
        <w:rPr>
          <w:rFonts w:asciiTheme="minorHAnsi" w:hAnsiTheme="minorHAnsi" w:cstheme="minorHAnsi"/>
          <w:sz w:val="22"/>
        </w:rPr>
        <w:t xml:space="preserve"> prélèvements répétés à intervalles rapprochés chez la souris afin de caractériser les cinétiques des biomarqueurs de la lipolyse.</w:t>
      </w:r>
      <w:r w:rsidRPr="00EA2A68">
        <w:rPr>
          <w:rFonts w:asciiTheme="minorHAnsi" w:hAnsiTheme="minorHAnsi" w:cstheme="minorHAnsi"/>
          <w:sz w:val="22"/>
        </w:rPr>
        <w:t xml:space="preserve"> Les performances analytiques de </w:t>
      </w:r>
      <w:r>
        <w:rPr>
          <w:rFonts w:asciiTheme="minorHAnsi" w:hAnsiTheme="minorHAnsi" w:cstheme="minorHAnsi"/>
          <w:sz w:val="22"/>
        </w:rPr>
        <w:t>la méthode appliquée au DBS</w:t>
      </w:r>
      <w:r w:rsidRPr="00EA2A68">
        <w:rPr>
          <w:rFonts w:asciiTheme="minorHAnsi" w:hAnsiTheme="minorHAnsi" w:cstheme="minorHAnsi"/>
          <w:sz w:val="22"/>
        </w:rPr>
        <w:t xml:space="preserve"> seront évaluées pour l’ensemble des </w:t>
      </w:r>
      <w:r w:rsidR="00D00D02">
        <w:rPr>
          <w:rFonts w:asciiTheme="minorHAnsi" w:hAnsiTheme="minorHAnsi" w:cstheme="minorHAnsi"/>
          <w:sz w:val="22"/>
        </w:rPr>
        <w:t>analytes</w:t>
      </w:r>
      <w:r w:rsidRPr="00EA2A68">
        <w:rPr>
          <w:rFonts w:asciiTheme="minorHAnsi" w:hAnsiTheme="minorHAnsi" w:cstheme="minorHAnsi"/>
          <w:sz w:val="22"/>
        </w:rPr>
        <w:t xml:space="preserve"> étudiés.</w:t>
      </w:r>
      <w:r w:rsidR="008D1E8A" w:rsidRPr="008D1E8A">
        <w:rPr>
          <w:rFonts w:asciiTheme="minorHAnsi" w:hAnsiTheme="minorHAnsi" w:cstheme="minorHAnsi"/>
          <w:sz w:val="22"/>
        </w:rPr>
        <w:t xml:space="preserve"> </w:t>
      </w:r>
      <w:r w:rsidR="00D00D02" w:rsidRPr="00D00D02">
        <w:rPr>
          <w:rFonts w:asciiTheme="minorHAnsi" w:hAnsiTheme="minorHAnsi" w:cstheme="minorHAnsi"/>
          <w:sz w:val="22"/>
        </w:rPr>
        <w:t>L’intégration d’un paramètre physiologique endogène pour améliorer la fiabilité des dosages sur DBS sera également explorée</w:t>
      </w:r>
      <w:r w:rsidR="008D1E8A" w:rsidRPr="008D1E8A">
        <w:rPr>
          <w:rFonts w:asciiTheme="minorHAnsi" w:hAnsiTheme="minorHAnsi" w:cstheme="minorHAnsi"/>
          <w:sz w:val="22"/>
        </w:rPr>
        <w:t>. Concernant les acides gras, le projet visera à déterminer</w:t>
      </w:r>
      <w:r w:rsidR="00BA4331">
        <w:rPr>
          <w:rFonts w:asciiTheme="minorHAnsi" w:hAnsiTheme="minorHAnsi" w:cstheme="minorHAnsi"/>
          <w:sz w:val="22"/>
        </w:rPr>
        <w:t>, en explorant la phase d’extraction,</w:t>
      </w:r>
      <w:r w:rsidR="00D00D02">
        <w:rPr>
          <w:rFonts w:asciiTheme="minorHAnsi" w:hAnsiTheme="minorHAnsi" w:cstheme="minorHAnsi"/>
          <w:sz w:val="22"/>
        </w:rPr>
        <w:t xml:space="preserve"> si le DBS distingue les variations des acides gras </w:t>
      </w:r>
      <w:r w:rsidR="00491E69">
        <w:rPr>
          <w:rFonts w:asciiTheme="minorHAnsi" w:hAnsiTheme="minorHAnsi" w:cstheme="minorHAnsi"/>
          <w:sz w:val="22"/>
        </w:rPr>
        <w:t xml:space="preserve">plasmatiques </w:t>
      </w:r>
      <w:r w:rsidR="00D00D02">
        <w:rPr>
          <w:rFonts w:asciiTheme="minorHAnsi" w:hAnsiTheme="minorHAnsi" w:cstheme="minorHAnsi"/>
          <w:sz w:val="22"/>
        </w:rPr>
        <w:t>circulants</w:t>
      </w:r>
      <w:r w:rsidR="00D36583">
        <w:rPr>
          <w:rFonts w:asciiTheme="minorHAnsi" w:hAnsiTheme="minorHAnsi" w:cstheme="minorHAnsi"/>
          <w:sz w:val="22"/>
        </w:rPr>
        <w:t xml:space="preserve"> non estérifiés</w:t>
      </w:r>
      <w:r w:rsidR="00D00D02">
        <w:rPr>
          <w:rFonts w:asciiTheme="minorHAnsi" w:hAnsiTheme="minorHAnsi" w:cstheme="minorHAnsi"/>
          <w:sz w:val="22"/>
        </w:rPr>
        <w:t>, induites par lipolyse</w:t>
      </w:r>
      <w:r w:rsidR="00802325">
        <w:rPr>
          <w:rFonts w:asciiTheme="minorHAnsi" w:hAnsiTheme="minorHAnsi" w:cstheme="minorHAnsi"/>
          <w:sz w:val="22"/>
        </w:rPr>
        <w:t xml:space="preserve"> (</w:t>
      </w:r>
      <w:r w:rsidR="00491E69">
        <w:rPr>
          <w:rFonts w:asciiTheme="minorHAnsi" w:hAnsiTheme="minorHAnsi" w:cstheme="minorHAnsi"/>
          <w:sz w:val="22"/>
        </w:rPr>
        <w:t xml:space="preserve">intervalle </w:t>
      </w:r>
      <w:r w:rsidR="00597593">
        <w:rPr>
          <w:rFonts w:asciiTheme="minorHAnsi" w:hAnsiTheme="minorHAnsi" w:cstheme="minorHAnsi"/>
          <w:sz w:val="22"/>
        </w:rPr>
        <w:t>1-2h</w:t>
      </w:r>
      <w:r w:rsidR="00802325">
        <w:rPr>
          <w:rFonts w:asciiTheme="minorHAnsi" w:hAnsiTheme="minorHAnsi" w:cstheme="minorHAnsi"/>
          <w:sz w:val="22"/>
        </w:rPr>
        <w:t>)</w:t>
      </w:r>
      <w:r w:rsidR="00D00D02">
        <w:rPr>
          <w:rFonts w:asciiTheme="minorHAnsi" w:hAnsiTheme="minorHAnsi" w:cstheme="minorHAnsi"/>
          <w:sz w:val="22"/>
        </w:rPr>
        <w:t xml:space="preserve">, des </w:t>
      </w:r>
      <w:r w:rsidR="00491E69">
        <w:rPr>
          <w:rFonts w:asciiTheme="minorHAnsi" w:hAnsiTheme="minorHAnsi" w:cstheme="minorHAnsi"/>
          <w:sz w:val="22"/>
        </w:rPr>
        <w:t>acides gras estérifiés (</w:t>
      </w:r>
      <w:r w:rsidR="00491E69" w:rsidRPr="001F0799">
        <w:rPr>
          <w:rFonts w:asciiTheme="minorHAnsi" w:hAnsiTheme="minorHAnsi" w:cstheme="minorHAnsi"/>
          <w:i/>
          <w:sz w:val="22"/>
        </w:rPr>
        <w:t>i</w:t>
      </w:r>
      <w:r w:rsidR="001F0799">
        <w:rPr>
          <w:rFonts w:asciiTheme="minorHAnsi" w:hAnsiTheme="minorHAnsi" w:cstheme="minorHAnsi"/>
          <w:i/>
          <w:sz w:val="22"/>
        </w:rPr>
        <w:t>.</w:t>
      </w:r>
      <w:r w:rsidR="00491E69" w:rsidRPr="001F0799">
        <w:rPr>
          <w:rFonts w:asciiTheme="minorHAnsi" w:hAnsiTheme="minorHAnsi" w:cstheme="minorHAnsi"/>
          <w:i/>
          <w:sz w:val="22"/>
        </w:rPr>
        <w:t>e</w:t>
      </w:r>
      <w:r w:rsidR="001F0799">
        <w:rPr>
          <w:rFonts w:asciiTheme="minorHAnsi" w:hAnsiTheme="minorHAnsi" w:cstheme="minorHAnsi"/>
          <w:i/>
          <w:sz w:val="22"/>
        </w:rPr>
        <w:t>.</w:t>
      </w:r>
      <w:r w:rsidR="00491E69">
        <w:rPr>
          <w:rFonts w:asciiTheme="minorHAnsi" w:hAnsiTheme="minorHAnsi" w:cstheme="minorHAnsi"/>
          <w:sz w:val="22"/>
        </w:rPr>
        <w:t xml:space="preserve"> triglycérides) et des </w:t>
      </w:r>
      <w:r w:rsidR="00D00D02">
        <w:rPr>
          <w:rFonts w:asciiTheme="minorHAnsi" w:hAnsiTheme="minorHAnsi" w:cstheme="minorHAnsi"/>
          <w:sz w:val="22"/>
        </w:rPr>
        <w:t>profils érythrocytaires, stables sur des intervalles de temps courts (demi vie ~100 jours).</w:t>
      </w:r>
    </w:p>
    <w:p w14:paraId="352FD9A1" w14:textId="2234A7C9" w:rsidR="008D1E8A" w:rsidRPr="008D1E8A" w:rsidRDefault="008D1E8A" w:rsidP="008D1E8A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</w:rPr>
      </w:pPr>
      <w:r w:rsidRPr="008D1E8A">
        <w:rPr>
          <w:rFonts w:asciiTheme="minorHAnsi" w:hAnsiTheme="minorHAnsi" w:cstheme="minorHAnsi"/>
          <w:sz w:val="22"/>
        </w:rPr>
        <w:t xml:space="preserve">Les données générées seront intégrées à des approches de modélisation pharmacocinétique/pharmacodynamique afin de décrire les relations entre exposition au CL316,243, activation de la lipolyse et production hépatique de corps cétoniques. Les plateformes analytiques (LC-MS/MS et GC-FID) ainsi que les premiers développements méthodologiques sont déjà disponibles au laboratoire, </w:t>
      </w:r>
      <w:r w:rsidR="007A35D0">
        <w:rPr>
          <w:rFonts w:asciiTheme="minorHAnsi" w:hAnsiTheme="minorHAnsi" w:cstheme="minorHAnsi"/>
          <w:sz w:val="22"/>
        </w:rPr>
        <w:t>assurant</w:t>
      </w:r>
      <w:r w:rsidRPr="008D1E8A">
        <w:rPr>
          <w:rFonts w:asciiTheme="minorHAnsi" w:hAnsiTheme="minorHAnsi" w:cstheme="minorHAnsi"/>
          <w:sz w:val="22"/>
        </w:rPr>
        <w:t xml:space="preserve"> une mise en œuvre rapide du projet.</w:t>
      </w:r>
    </w:p>
    <w:p w14:paraId="07BCCE0F" w14:textId="77777777" w:rsidR="008D1E8A" w:rsidRDefault="008D1E8A" w:rsidP="008D1E8A">
      <w:pPr>
        <w:pStyle w:val="NormalWeb"/>
        <w:spacing w:before="0" w:beforeAutospacing="0" w:after="0" w:afterAutospacing="0"/>
        <w:jc w:val="both"/>
        <w:rPr>
          <w:rStyle w:val="lev"/>
          <w:rFonts w:asciiTheme="minorHAnsi" w:hAnsiTheme="minorHAnsi" w:cstheme="minorHAnsi"/>
          <w:sz w:val="22"/>
        </w:rPr>
      </w:pPr>
    </w:p>
    <w:p w14:paraId="7139BD62" w14:textId="77777777" w:rsidR="008D1E8A" w:rsidRPr="008D1E8A" w:rsidRDefault="008D1E8A" w:rsidP="008D1E8A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</w:rPr>
      </w:pPr>
      <w:r w:rsidRPr="008D1E8A">
        <w:rPr>
          <w:rStyle w:val="lev"/>
          <w:rFonts w:asciiTheme="minorHAnsi" w:hAnsiTheme="minorHAnsi" w:cstheme="minorHAnsi"/>
          <w:sz w:val="22"/>
        </w:rPr>
        <w:t>Profil recherché</w:t>
      </w:r>
    </w:p>
    <w:p w14:paraId="4F2351AF" w14:textId="77777777" w:rsidR="008D1E8A" w:rsidRPr="008D1E8A" w:rsidRDefault="008D1E8A" w:rsidP="008D1E8A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</w:rPr>
      </w:pPr>
      <w:r w:rsidRPr="008D1E8A">
        <w:rPr>
          <w:rFonts w:asciiTheme="minorHAnsi" w:hAnsiTheme="minorHAnsi" w:cstheme="minorHAnsi"/>
          <w:sz w:val="22"/>
        </w:rPr>
        <w:t xml:space="preserve">Étudiant(e) de Master 2 avec une première expérience en laboratoire, intéressé(e) par la chromatographie, la spectrométrie de masse et l’analyse de données. Le stage sera réalisé principalement au sein de l’équipe </w:t>
      </w:r>
      <w:hyperlink r:id="rId7" w:history="1">
        <w:proofErr w:type="spellStart"/>
        <w:r w:rsidRPr="007A35D0">
          <w:rPr>
            <w:rStyle w:val="Lienhypertexte"/>
            <w:rFonts w:asciiTheme="minorHAnsi" w:hAnsiTheme="minorHAnsi" w:cstheme="minorHAnsi"/>
            <w:sz w:val="22"/>
          </w:rPr>
          <w:t>Adip</w:t>
        </w:r>
        <w:r w:rsidR="009D4A4D" w:rsidRPr="007A35D0">
          <w:rPr>
            <w:rStyle w:val="Lienhypertexte"/>
            <w:rFonts w:asciiTheme="minorHAnsi" w:hAnsiTheme="minorHAnsi" w:cstheme="minorHAnsi"/>
            <w:sz w:val="22"/>
          </w:rPr>
          <w:t>oL</w:t>
        </w:r>
        <w:r w:rsidRPr="007A35D0">
          <w:rPr>
            <w:rStyle w:val="Lienhypertexte"/>
            <w:rFonts w:asciiTheme="minorHAnsi" w:hAnsiTheme="minorHAnsi" w:cstheme="minorHAnsi"/>
            <w:sz w:val="22"/>
          </w:rPr>
          <w:t>ive</w:t>
        </w:r>
        <w:proofErr w:type="spellEnd"/>
      </w:hyperlink>
      <w:r w:rsidRPr="008D1E8A">
        <w:rPr>
          <w:rFonts w:asciiTheme="minorHAnsi" w:hAnsiTheme="minorHAnsi" w:cstheme="minorHAnsi"/>
          <w:sz w:val="22"/>
        </w:rPr>
        <w:t xml:space="preserve"> (I2MC, INSERM, Toulouse) avec des interactions régulières avec le laboratoire hospitalier de biochimie du CHU de Toulouse.</w:t>
      </w:r>
    </w:p>
    <w:p w14:paraId="4223E53C" w14:textId="77777777" w:rsidR="0058331D" w:rsidRDefault="0058331D" w:rsidP="00F76693">
      <w:pPr>
        <w:pStyle w:val="NormalWeb"/>
        <w:spacing w:before="0" w:beforeAutospacing="0" w:after="0" w:afterAutospacing="0"/>
        <w:jc w:val="both"/>
        <w:rPr>
          <w:rStyle w:val="lev"/>
          <w:rFonts w:asciiTheme="minorHAnsi" w:hAnsiTheme="minorHAnsi" w:cstheme="minorHAnsi"/>
          <w:sz w:val="22"/>
        </w:rPr>
      </w:pPr>
    </w:p>
    <w:p w14:paraId="4FFAC4E6" w14:textId="37B0B025" w:rsidR="006314EA" w:rsidRPr="008D1E8A" w:rsidRDefault="008D1E8A" w:rsidP="00F7669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0"/>
        </w:rPr>
      </w:pPr>
      <w:r w:rsidRPr="008D1E8A">
        <w:rPr>
          <w:rStyle w:val="lev"/>
          <w:rFonts w:asciiTheme="minorHAnsi" w:hAnsiTheme="minorHAnsi" w:cstheme="minorHAnsi"/>
          <w:sz w:val="22"/>
        </w:rPr>
        <w:t>Contacts</w:t>
      </w:r>
      <w:r w:rsidR="0058331D">
        <w:rPr>
          <w:rStyle w:val="lev"/>
          <w:rFonts w:asciiTheme="minorHAnsi" w:hAnsiTheme="minorHAnsi" w:cstheme="minorHAnsi"/>
          <w:sz w:val="22"/>
        </w:rPr>
        <w:t> </w:t>
      </w:r>
      <w:r w:rsidR="0058331D">
        <w:rPr>
          <w:rStyle w:val="lev"/>
          <w:rFonts w:asciiTheme="minorHAnsi" w:hAnsiTheme="minorHAnsi" w:cstheme="minorHAnsi"/>
          <w:b w:val="0"/>
          <w:sz w:val="22"/>
        </w:rPr>
        <w:t>: Dr D</w:t>
      </w:r>
      <w:r w:rsidRPr="008D1E8A">
        <w:rPr>
          <w:rFonts w:asciiTheme="minorHAnsi" w:hAnsiTheme="minorHAnsi" w:cstheme="minorHAnsi"/>
          <w:sz w:val="22"/>
        </w:rPr>
        <w:t xml:space="preserve"> Metsu : </w:t>
      </w:r>
      <w:hyperlink r:id="rId8" w:history="1">
        <w:r w:rsidRPr="008D1E8A">
          <w:rPr>
            <w:rStyle w:val="Lienhypertexte"/>
            <w:rFonts w:asciiTheme="minorHAnsi" w:hAnsiTheme="minorHAnsi" w:cstheme="minorHAnsi"/>
            <w:sz w:val="22"/>
          </w:rPr>
          <w:t>metsu.d@chu-toulouse.fr</w:t>
        </w:r>
      </w:hyperlink>
      <w:r w:rsidR="00491E69">
        <w:rPr>
          <w:rFonts w:asciiTheme="minorHAnsi" w:hAnsiTheme="minorHAnsi" w:cstheme="minorHAnsi"/>
          <w:sz w:val="22"/>
        </w:rPr>
        <w:t xml:space="preserve"> ; </w:t>
      </w:r>
      <w:r w:rsidRPr="008D1E8A">
        <w:rPr>
          <w:rFonts w:asciiTheme="minorHAnsi" w:hAnsiTheme="minorHAnsi" w:cstheme="minorHAnsi"/>
          <w:sz w:val="22"/>
        </w:rPr>
        <w:t xml:space="preserve">Pr </w:t>
      </w:r>
      <w:r w:rsidR="0058331D">
        <w:rPr>
          <w:rFonts w:asciiTheme="minorHAnsi" w:hAnsiTheme="minorHAnsi" w:cstheme="minorHAnsi"/>
          <w:sz w:val="22"/>
        </w:rPr>
        <w:t xml:space="preserve">D </w:t>
      </w:r>
      <w:bookmarkStart w:id="0" w:name="_GoBack"/>
      <w:bookmarkEnd w:id="0"/>
      <w:proofErr w:type="spellStart"/>
      <w:r w:rsidRPr="008D1E8A">
        <w:rPr>
          <w:rFonts w:asciiTheme="minorHAnsi" w:hAnsiTheme="minorHAnsi" w:cstheme="minorHAnsi"/>
          <w:sz w:val="22"/>
        </w:rPr>
        <w:t>Langin</w:t>
      </w:r>
      <w:proofErr w:type="spellEnd"/>
      <w:r w:rsidRPr="008D1E8A">
        <w:rPr>
          <w:rFonts w:asciiTheme="minorHAnsi" w:hAnsiTheme="minorHAnsi" w:cstheme="minorHAnsi"/>
          <w:sz w:val="22"/>
        </w:rPr>
        <w:t xml:space="preserve"> : </w:t>
      </w:r>
      <w:hyperlink r:id="rId9" w:history="1">
        <w:r w:rsidRPr="008D1E8A">
          <w:rPr>
            <w:rStyle w:val="Lienhypertexte"/>
            <w:rFonts w:asciiTheme="minorHAnsi" w:hAnsiTheme="minorHAnsi" w:cstheme="minorHAnsi"/>
            <w:sz w:val="22"/>
          </w:rPr>
          <w:t>dominique.langin@inserm.fr</w:t>
        </w:r>
      </w:hyperlink>
    </w:p>
    <w:sectPr w:rsidR="006314EA" w:rsidRPr="008D1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AB30A5" w14:textId="77777777" w:rsidR="00E42BF1" w:rsidRDefault="00E42BF1" w:rsidP="00F76693">
      <w:pPr>
        <w:spacing w:after="0" w:line="240" w:lineRule="auto"/>
      </w:pPr>
      <w:r>
        <w:separator/>
      </w:r>
    </w:p>
  </w:endnote>
  <w:endnote w:type="continuationSeparator" w:id="0">
    <w:p w14:paraId="14736D3B" w14:textId="77777777" w:rsidR="00E42BF1" w:rsidRDefault="00E42BF1" w:rsidP="00F76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A3EB91" w14:textId="77777777" w:rsidR="00E42BF1" w:rsidRDefault="00E42BF1" w:rsidP="00F76693">
      <w:pPr>
        <w:spacing w:after="0" w:line="240" w:lineRule="auto"/>
      </w:pPr>
      <w:r>
        <w:separator/>
      </w:r>
    </w:p>
  </w:footnote>
  <w:footnote w:type="continuationSeparator" w:id="0">
    <w:p w14:paraId="64EED435" w14:textId="77777777" w:rsidR="00E42BF1" w:rsidRDefault="00E42BF1" w:rsidP="00F766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E8A"/>
    <w:rsid w:val="0006328F"/>
    <w:rsid w:val="001F0799"/>
    <w:rsid w:val="00217806"/>
    <w:rsid w:val="00273108"/>
    <w:rsid w:val="003C7754"/>
    <w:rsid w:val="00491E69"/>
    <w:rsid w:val="0058331D"/>
    <w:rsid w:val="00597593"/>
    <w:rsid w:val="005B6C44"/>
    <w:rsid w:val="005D4BAD"/>
    <w:rsid w:val="005F0664"/>
    <w:rsid w:val="00657202"/>
    <w:rsid w:val="0075501C"/>
    <w:rsid w:val="007A35D0"/>
    <w:rsid w:val="00802325"/>
    <w:rsid w:val="008D1E8A"/>
    <w:rsid w:val="009D4A4D"/>
    <w:rsid w:val="00BA4331"/>
    <w:rsid w:val="00C06E30"/>
    <w:rsid w:val="00C13F42"/>
    <w:rsid w:val="00C22A51"/>
    <w:rsid w:val="00D00D02"/>
    <w:rsid w:val="00D36583"/>
    <w:rsid w:val="00D36D63"/>
    <w:rsid w:val="00D51C54"/>
    <w:rsid w:val="00DD5599"/>
    <w:rsid w:val="00E00B32"/>
    <w:rsid w:val="00E42BF1"/>
    <w:rsid w:val="00EA2A68"/>
    <w:rsid w:val="00F76693"/>
    <w:rsid w:val="00FA2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F240F"/>
  <w15:chartTrackingRefBased/>
  <w15:docId w15:val="{D092BE37-CEE1-4E0B-BACD-6E3AA7908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D1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8D1E8A"/>
    <w:rPr>
      <w:b/>
      <w:bCs/>
    </w:rPr>
  </w:style>
  <w:style w:type="character" w:styleId="Lienhypertexte">
    <w:name w:val="Hyperlink"/>
    <w:basedOn w:val="Policepardfaut"/>
    <w:uiPriority w:val="99"/>
    <w:unhideWhenUsed/>
    <w:rsid w:val="008D1E8A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F766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76693"/>
  </w:style>
  <w:style w:type="paragraph" w:styleId="Pieddepage">
    <w:name w:val="footer"/>
    <w:basedOn w:val="Normal"/>
    <w:link w:val="PieddepageCar"/>
    <w:uiPriority w:val="99"/>
    <w:unhideWhenUsed/>
    <w:rsid w:val="00F766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76693"/>
  </w:style>
  <w:style w:type="character" w:styleId="Mentionnonrsolue">
    <w:name w:val="Unresolved Mention"/>
    <w:basedOn w:val="Policepardfaut"/>
    <w:uiPriority w:val="99"/>
    <w:semiHidden/>
    <w:unhideWhenUsed/>
    <w:rsid w:val="007A35D0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D51C5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51C5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51C5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51C5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51C54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51C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1C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03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tsu.d@chu-toulouse.f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2mc.inserm.fr/equipe-langin-2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dominique.langin@inserm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608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Toulouse</Company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METSU David</dc:creator>
  <cp:keywords/>
  <dc:description/>
  <cp:lastModifiedBy>METSU David</cp:lastModifiedBy>
  <cp:revision>2</cp:revision>
  <dcterms:created xsi:type="dcterms:W3CDTF">2026-06-08T08:35:00Z</dcterms:created>
  <dcterms:modified xsi:type="dcterms:W3CDTF">2026-06-08T08:35:00Z</dcterms:modified>
</cp:coreProperties>
</file>