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F4" w:rsidRDefault="00DD45F4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  <w:r>
        <w:rPr>
          <w:rFonts w:cs="Arial"/>
          <w:b/>
          <w:bCs/>
          <w:color w:val="5F5F5F"/>
          <w:sz w:val="28"/>
          <w:szCs w:val="28"/>
        </w:rPr>
        <w:t>UE 2.10 CORRIGE AUTOEVALUATION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right" w:tblpY="23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</w:tblGrid>
      <w:tr w:rsidR="00DD45F4" w:rsidTr="00DD45F4">
        <w:tc>
          <w:tcPr>
            <w:tcW w:w="1101" w:type="dxa"/>
          </w:tcPr>
          <w:p w:rsidR="00DD45F4" w:rsidRDefault="00DD45F4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D</w:t>
            </w:r>
          </w:p>
        </w:tc>
        <w:tc>
          <w:tcPr>
            <w:tcW w:w="2976" w:type="dxa"/>
          </w:tcPr>
          <w:p w:rsidR="00DD45F4" w:rsidRDefault="00A12C66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déchets</w:t>
            </w:r>
          </w:p>
        </w:tc>
      </w:tr>
      <w:tr w:rsidR="00DD45F4" w:rsidTr="00DD45F4">
        <w:tc>
          <w:tcPr>
            <w:tcW w:w="1101" w:type="dxa"/>
          </w:tcPr>
          <w:p w:rsidR="00DD45F4" w:rsidRDefault="00DD45F4" w:rsidP="00DD45F4">
            <w:pPr>
              <w:ind w:right="3397"/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A</w:t>
            </w:r>
          </w:p>
        </w:tc>
        <w:tc>
          <w:tcPr>
            <w:tcW w:w="2976" w:type="dxa"/>
          </w:tcPr>
          <w:p w:rsidR="00DD45F4" w:rsidRDefault="00A12C66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Associés</w:t>
            </w:r>
          </w:p>
        </w:tc>
      </w:tr>
      <w:tr w:rsidR="00DD45F4" w:rsidTr="00DD45F4">
        <w:tc>
          <w:tcPr>
            <w:tcW w:w="1101" w:type="dxa"/>
          </w:tcPr>
          <w:p w:rsidR="00DD45F4" w:rsidRDefault="00DD45F4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S</w:t>
            </w:r>
          </w:p>
        </w:tc>
        <w:tc>
          <w:tcPr>
            <w:tcW w:w="2976" w:type="dxa"/>
          </w:tcPr>
          <w:p w:rsidR="00DD45F4" w:rsidRDefault="00A12C66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Aux soins</w:t>
            </w:r>
          </w:p>
        </w:tc>
      </w:tr>
      <w:tr w:rsidR="00DD45F4" w:rsidTr="00DD45F4">
        <w:tc>
          <w:tcPr>
            <w:tcW w:w="1101" w:type="dxa"/>
          </w:tcPr>
          <w:p w:rsidR="00DD45F4" w:rsidRDefault="00DD45F4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R</w:t>
            </w:r>
          </w:p>
        </w:tc>
        <w:tc>
          <w:tcPr>
            <w:tcW w:w="2976" w:type="dxa"/>
          </w:tcPr>
          <w:p w:rsidR="00DD45F4" w:rsidRDefault="00A12C66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A risque</w:t>
            </w:r>
          </w:p>
        </w:tc>
      </w:tr>
      <w:tr w:rsidR="00DD45F4" w:rsidTr="00DD45F4">
        <w:tc>
          <w:tcPr>
            <w:tcW w:w="1101" w:type="dxa"/>
          </w:tcPr>
          <w:p w:rsidR="00DD45F4" w:rsidRDefault="00DD45F4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I</w:t>
            </w:r>
          </w:p>
        </w:tc>
        <w:tc>
          <w:tcPr>
            <w:tcW w:w="2976" w:type="dxa"/>
          </w:tcPr>
          <w:p w:rsidR="00DD45F4" w:rsidRDefault="00A12C66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infectieux</w:t>
            </w:r>
          </w:p>
        </w:tc>
      </w:tr>
    </w:tbl>
    <w:p w:rsidR="00E767FC" w:rsidRDefault="00E767FC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1101"/>
        <w:gridCol w:w="2976"/>
      </w:tblGrid>
      <w:tr w:rsidR="00DD45F4" w:rsidTr="00DD45F4">
        <w:tc>
          <w:tcPr>
            <w:tcW w:w="1101" w:type="dxa"/>
          </w:tcPr>
          <w:p w:rsidR="00DD45F4" w:rsidRDefault="00DD45F4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D</w:t>
            </w:r>
          </w:p>
        </w:tc>
        <w:tc>
          <w:tcPr>
            <w:tcW w:w="2976" w:type="dxa"/>
          </w:tcPr>
          <w:p w:rsidR="00DD45F4" w:rsidRDefault="00A12C66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Déchets</w:t>
            </w:r>
          </w:p>
        </w:tc>
      </w:tr>
      <w:tr w:rsidR="00DD45F4" w:rsidTr="00DD45F4">
        <w:tc>
          <w:tcPr>
            <w:tcW w:w="1101" w:type="dxa"/>
          </w:tcPr>
          <w:p w:rsidR="00DD45F4" w:rsidRDefault="00DD45F4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A</w:t>
            </w:r>
          </w:p>
        </w:tc>
        <w:tc>
          <w:tcPr>
            <w:tcW w:w="2976" w:type="dxa"/>
          </w:tcPr>
          <w:p w:rsidR="00DD45F4" w:rsidRDefault="00A12C66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Associés</w:t>
            </w:r>
          </w:p>
        </w:tc>
      </w:tr>
      <w:tr w:rsidR="00DD45F4" w:rsidTr="00DD45F4">
        <w:tc>
          <w:tcPr>
            <w:tcW w:w="1101" w:type="dxa"/>
          </w:tcPr>
          <w:p w:rsidR="00DD45F4" w:rsidRDefault="00DD45F4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O</w:t>
            </w:r>
          </w:p>
        </w:tc>
        <w:tc>
          <w:tcPr>
            <w:tcW w:w="2976" w:type="dxa"/>
          </w:tcPr>
          <w:p w:rsidR="00DD45F4" w:rsidRDefault="00A12C66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Ordures</w:t>
            </w:r>
          </w:p>
        </w:tc>
      </w:tr>
      <w:tr w:rsidR="00DD45F4" w:rsidTr="00DD45F4">
        <w:tc>
          <w:tcPr>
            <w:tcW w:w="1101" w:type="dxa"/>
          </w:tcPr>
          <w:p w:rsidR="00DD45F4" w:rsidRDefault="00DD45F4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M</w:t>
            </w:r>
          </w:p>
        </w:tc>
        <w:tc>
          <w:tcPr>
            <w:tcW w:w="2976" w:type="dxa"/>
          </w:tcPr>
          <w:p w:rsidR="00DD45F4" w:rsidRDefault="00A12C66" w:rsidP="00DD45F4">
            <w:pPr>
              <w:jc w:val="both"/>
              <w:rPr>
                <w:rFonts w:cs="Arial"/>
                <w:b/>
                <w:bCs/>
                <w:color w:val="5F5F5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5F5F5F"/>
                <w:sz w:val="28"/>
                <w:szCs w:val="28"/>
              </w:rPr>
              <w:t>ménagères</w:t>
            </w:r>
          </w:p>
        </w:tc>
      </w:tr>
    </w:tbl>
    <w:p w:rsidR="00E767FC" w:rsidRDefault="00E767FC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</w:p>
    <w:p w:rsidR="00E767FC" w:rsidRDefault="00E767FC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</w:p>
    <w:p w:rsidR="00DD45F4" w:rsidRDefault="00DD45F4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</w:p>
    <w:p w:rsidR="004D63A5" w:rsidRPr="0064673A" w:rsidRDefault="00154ED5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>Les changes adultes sont-ils des DASRI ?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>Les protections pour a</w:t>
      </w:r>
      <w:r w:rsidR="00E767FC">
        <w:rPr>
          <w:rFonts w:cs="Arial"/>
          <w:color w:val="5F5F5F"/>
          <w:sz w:val="28"/>
          <w:szCs w:val="28"/>
        </w:rPr>
        <w:t xml:space="preserve">dultes incontinents ne sont pas </w:t>
      </w:r>
      <w:r w:rsidRPr="0064673A">
        <w:rPr>
          <w:rFonts w:cs="Arial"/>
          <w:color w:val="5F5F5F"/>
          <w:sz w:val="28"/>
          <w:szCs w:val="28"/>
        </w:rPr>
        <w:t>des DASRI par natur</w:t>
      </w:r>
      <w:r w:rsidR="00E767FC">
        <w:rPr>
          <w:rFonts w:cs="Arial"/>
          <w:color w:val="5F5F5F"/>
          <w:sz w:val="28"/>
          <w:szCs w:val="28"/>
        </w:rPr>
        <w:t xml:space="preserve">e. Elles sont à éliminer par la </w:t>
      </w:r>
      <w:r w:rsidRPr="0064673A">
        <w:rPr>
          <w:rFonts w:cs="Arial"/>
          <w:color w:val="5F5F5F"/>
          <w:sz w:val="28"/>
          <w:szCs w:val="28"/>
        </w:rPr>
        <w:t>filière des déchets ménagers et assimilés sauf si un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proofErr w:type="gramStart"/>
      <w:r w:rsidRPr="0064673A">
        <w:rPr>
          <w:rFonts w:cs="Arial"/>
          <w:color w:val="5F5F5F"/>
          <w:sz w:val="28"/>
          <w:szCs w:val="28"/>
        </w:rPr>
        <w:t>risque</w:t>
      </w:r>
      <w:proofErr w:type="gramEnd"/>
      <w:r w:rsidRPr="0064673A">
        <w:rPr>
          <w:rFonts w:cs="Arial"/>
          <w:color w:val="5F5F5F"/>
          <w:sz w:val="28"/>
          <w:szCs w:val="28"/>
        </w:rPr>
        <w:t xml:space="preserve"> infectieux existe</w:t>
      </w:r>
      <w:r w:rsidR="00E767FC">
        <w:rPr>
          <w:rFonts w:cs="Arial"/>
          <w:color w:val="5F5F5F"/>
          <w:sz w:val="28"/>
          <w:szCs w:val="28"/>
        </w:rPr>
        <w:t xml:space="preserve">. A cet égard, elles peuvent de </w:t>
      </w:r>
      <w:r w:rsidRPr="0064673A">
        <w:rPr>
          <w:rFonts w:cs="Arial"/>
          <w:color w:val="5F5F5F"/>
          <w:sz w:val="28"/>
          <w:szCs w:val="28"/>
        </w:rPr>
        <w:t>manière excep</w:t>
      </w:r>
      <w:r w:rsidR="00E767FC">
        <w:rPr>
          <w:rFonts w:cs="Arial"/>
          <w:color w:val="5F5F5F"/>
          <w:sz w:val="28"/>
          <w:szCs w:val="28"/>
        </w:rPr>
        <w:t xml:space="preserve">tionnelle être classées par les </w:t>
      </w:r>
      <w:r w:rsidRPr="0064673A">
        <w:rPr>
          <w:rFonts w:cs="Arial"/>
          <w:color w:val="5F5F5F"/>
          <w:sz w:val="28"/>
          <w:szCs w:val="28"/>
        </w:rPr>
        <w:t>établissements en tant que DASRI pour des patients</w:t>
      </w:r>
    </w:p>
    <w:p w:rsidR="00550679" w:rsidRPr="0064673A" w:rsidRDefault="00550679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 xml:space="preserve">placés en </w:t>
      </w:r>
      <w:r w:rsidR="001853DF">
        <w:rPr>
          <w:rFonts w:cs="Arial"/>
          <w:color w:val="5F5F5F"/>
          <w:sz w:val="28"/>
          <w:szCs w:val="28"/>
        </w:rPr>
        <w:t>précautions complémentaires</w:t>
      </w:r>
      <w:r w:rsidRPr="0064673A">
        <w:rPr>
          <w:rFonts w:cs="Arial"/>
          <w:color w:val="5F5F5F"/>
          <w:sz w:val="28"/>
          <w:szCs w:val="28"/>
        </w:rPr>
        <w:t>.</w:t>
      </w:r>
    </w:p>
    <w:p w:rsidR="00550679" w:rsidRPr="0064673A" w:rsidRDefault="00550679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>Les flacons de médicaments sont-ils des DASRI ?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>Les flacons de mé</w:t>
      </w:r>
      <w:r w:rsidR="00E767FC">
        <w:rPr>
          <w:rFonts w:cs="Arial"/>
          <w:color w:val="5F5F5F"/>
          <w:sz w:val="28"/>
          <w:szCs w:val="28"/>
        </w:rPr>
        <w:t xml:space="preserve">dicaments ne sont pas des DASRI </w:t>
      </w:r>
      <w:r w:rsidRPr="0064673A">
        <w:rPr>
          <w:rFonts w:cs="Arial"/>
          <w:color w:val="5F5F5F"/>
          <w:sz w:val="28"/>
          <w:szCs w:val="28"/>
        </w:rPr>
        <w:t>par nature. Ils peuvent se retrouver dans l</w:t>
      </w:r>
      <w:r w:rsidR="00E767FC">
        <w:rPr>
          <w:rFonts w:cs="Arial"/>
          <w:color w:val="5F5F5F"/>
          <w:sz w:val="28"/>
          <w:szCs w:val="28"/>
        </w:rPr>
        <w:t xml:space="preserve">es DASRI </w:t>
      </w:r>
      <w:r w:rsidRPr="0064673A">
        <w:rPr>
          <w:rFonts w:cs="Arial"/>
          <w:color w:val="5F5F5F"/>
          <w:sz w:val="28"/>
          <w:szCs w:val="28"/>
        </w:rPr>
        <w:t>s’ils sont souillés ou utilisés par des patients en</w:t>
      </w:r>
    </w:p>
    <w:p w:rsidR="00E767FC" w:rsidRDefault="00E767FC" w:rsidP="00550679">
      <w:pPr>
        <w:jc w:val="both"/>
        <w:rPr>
          <w:rFonts w:cs="Arial"/>
          <w:color w:val="5F5F5F"/>
          <w:sz w:val="28"/>
          <w:szCs w:val="28"/>
        </w:rPr>
      </w:pPr>
      <w:r>
        <w:rPr>
          <w:rFonts w:cs="Arial"/>
          <w:color w:val="5F5F5F"/>
          <w:sz w:val="28"/>
          <w:szCs w:val="28"/>
        </w:rPr>
        <w:t>Précautions complémentaires.</w:t>
      </w:r>
    </w:p>
    <w:p w:rsidR="00550679" w:rsidRDefault="00E767FC" w:rsidP="00550679">
      <w:pPr>
        <w:jc w:val="both"/>
        <w:rPr>
          <w:rFonts w:cs="Arial"/>
          <w:color w:val="5F5F5F"/>
          <w:sz w:val="28"/>
          <w:szCs w:val="28"/>
        </w:rPr>
      </w:pPr>
      <w:r>
        <w:rPr>
          <w:rFonts w:cs="Arial"/>
          <w:color w:val="5F5F5F"/>
          <w:sz w:val="28"/>
          <w:szCs w:val="28"/>
        </w:rPr>
        <w:t>Par ailleurs les DASRI sont incinérés et non pas compostés. Ainsi il n’y a pas de ruissellement des eaux de pluie sur les flacons et pas de contamination des nappes phréatiques par les médicaments.</w:t>
      </w:r>
    </w:p>
    <w:p w:rsidR="00E767FC" w:rsidRPr="0064673A" w:rsidRDefault="00E767FC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  <w:r>
        <w:rPr>
          <w:rFonts w:cs="Arial"/>
          <w:color w:val="5F5F5F"/>
          <w:sz w:val="28"/>
          <w:szCs w:val="28"/>
        </w:rPr>
        <w:t>C’est pourquoi, à ce jour, on continue à les mettre dans les DASRI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>Les lingettes pour nettoyer le sol sont-elles des</w:t>
      </w:r>
      <w:r w:rsidR="0064673A" w:rsidRPr="0064673A">
        <w:rPr>
          <w:rFonts w:cs="Arial"/>
          <w:b/>
          <w:bCs/>
          <w:color w:val="5F5F5F"/>
          <w:sz w:val="28"/>
          <w:szCs w:val="28"/>
        </w:rPr>
        <w:t xml:space="preserve"> DASRI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E767FC" w:rsidRDefault="00550679" w:rsidP="00E767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 xml:space="preserve">Les lingettes ne sont </w:t>
      </w:r>
      <w:r w:rsidR="00E767FC">
        <w:rPr>
          <w:rFonts w:cs="Arial"/>
          <w:color w:val="5F5F5F"/>
          <w:sz w:val="28"/>
          <w:szCs w:val="28"/>
        </w:rPr>
        <w:t xml:space="preserve">pas des DASRI par nature. Elles </w:t>
      </w:r>
      <w:r w:rsidRPr="0064673A">
        <w:rPr>
          <w:rFonts w:cs="Arial"/>
          <w:color w:val="5F5F5F"/>
          <w:sz w:val="28"/>
          <w:szCs w:val="28"/>
        </w:rPr>
        <w:t>peuvent se retrouv</w:t>
      </w:r>
      <w:r w:rsidR="00E767FC">
        <w:rPr>
          <w:rFonts w:cs="Arial"/>
          <w:color w:val="5F5F5F"/>
          <w:sz w:val="28"/>
          <w:szCs w:val="28"/>
        </w:rPr>
        <w:t xml:space="preserve">er dans les DASRI si elles sont </w:t>
      </w:r>
      <w:r w:rsidRPr="0064673A">
        <w:rPr>
          <w:rFonts w:cs="Arial"/>
          <w:color w:val="5F5F5F"/>
          <w:sz w:val="28"/>
          <w:szCs w:val="28"/>
        </w:rPr>
        <w:t>souillées par des agents biologiques à risque</w:t>
      </w:r>
      <w:r w:rsidR="00E767FC">
        <w:rPr>
          <w:rFonts w:cs="Arial"/>
          <w:color w:val="5F5F5F"/>
          <w:sz w:val="28"/>
          <w:szCs w:val="28"/>
        </w:rPr>
        <w:t xml:space="preserve"> </w:t>
      </w:r>
      <w:r w:rsidRPr="0064673A">
        <w:rPr>
          <w:rFonts w:cs="Arial"/>
          <w:color w:val="5F5F5F"/>
          <w:sz w:val="28"/>
          <w:szCs w:val="28"/>
        </w:rPr>
        <w:t>.</w:t>
      </w:r>
      <w:r w:rsidRPr="0064673A">
        <w:rPr>
          <w:rFonts w:cs="Arial"/>
          <w:b/>
          <w:bCs/>
          <w:color w:val="5F5F5F"/>
          <w:sz w:val="28"/>
          <w:szCs w:val="28"/>
        </w:rPr>
        <w:t>DASRI ?</w:t>
      </w:r>
    </w:p>
    <w:p w:rsidR="00550679" w:rsidRPr="0064673A" w:rsidRDefault="00550679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>Les corps des seringues sont-ils des DASRI ?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>Les corps de seri</w:t>
      </w:r>
      <w:r w:rsidR="00E767FC">
        <w:rPr>
          <w:rFonts w:cs="Arial"/>
          <w:color w:val="5F5F5F"/>
          <w:sz w:val="28"/>
          <w:szCs w:val="28"/>
        </w:rPr>
        <w:t xml:space="preserve">ngues ne sont pas des DASRI par </w:t>
      </w:r>
      <w:r w:rsidRPr="0064673A">
        <w:rPr>
          <w:rFonts w:cs="Arial"/>
          <w:color w:val="5F5F5F"/>
          <w:sz w:val="28"/>
          <w:szCs w:val="28"/>
        </w:rPr>
        <w:t>nature. Il est reco</w:t>
      </w:r>
      <w:r w:rsidR="00E767FC">
        <w:rPr>
          <w:rFonts w:cs="Arial"/>
          <w:color w:val="5F5F5F"/>
          <w:sz w:val="28"/>
          <w:szCs w:val="28"/>
        </w:rPr>
        <w:t xml:space="preserve">mmandé, dans les protocoles des </w:t>
      </w:r>
      <w:r w:rsidRPr="0064673A">
        <w:rPr>
          <w:rFonts w:cs="Arial"/>
          <w:color w:val="5F5F5F"/>
          <w:sz w:val="28"/>
          <w:szCs w:val="28"/>
        </w:rPr>
        <w:t>établissements, de les classer dans les DASRI pour</w:t>
      </w:r>
    </w:p>
    <w:p w:rsidR="00550679" w:rsidRPr="0064673A" w:rsidRDefault="00550679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  <w:proofErr w:type="gramStart"/>
      <w:r w:rsidRPr="0064673A">
        <w:rPr>
          <w:rFonts w:cs="Arial"/>
          <w:color w:val="5F5F5F"/>
          <w:sz w:val="28"/>
          <w:szCs w:val="28"/>
        </w:rPr>
        <w:t>des</w:t>
      </w:r>
      <w:proofErr w:type="gramEnd"/>
      <w:r w:rsidRPr="0064673A">
        <w:rPr>
          <w:rFonts w:cs="Arial"/>
          <w:color w:val="5F5F5F"/>
          <w:sz w:val="28"/>
          <w:szCs w:val="28"/>
        </w:rPr>
        <w:t xml:space="preserve"> raisons psycho-émotionnelles.</w:t>
      </w:r>
    </w:p>
    <w:p w:rsidR="00550679" w:rsidRPr="0064673A" w:rsidRDefault="00550679" w:rsidP="00550679">
      <w:pPr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>Les plateaux de soins sont-ils des DASRI ?</w:t>
      </w:r>
    </w:p>
    <w:p w:rsidR="00550679" w:rsidRDefault="00550679" w:rsidP="00E767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 xml:space="preserve">Les plateaux de </w:t>
      </w:r>
      <w:r w:rsidR="00E767FC">
        <w:rPr>
          <w:rFonts w:cs="Arial"/>
          <w:color w:val="5F5F5F"/>
          <w:sz w:val="28"/>
          <w:szCs w:val="28"/>
        </w:rPr>
        <w:t xml:space="preserve">soins ne sont pas des DASRI par </w:t>
      </w:r>
      <w:r w:rsidRPr="0064673A">
        <w:rPr>
          <w:rFonts w:cs="Arial"/>
          <w:color w:val="5F5F5F"/>
          <w:sz w:val="28"/>
          <w:szCs w:val="28"/>
        </w:rPr>
        <w:t>nature. Ils peuvent se</w:t>
      </w:r>
      <w:r w:rsidR="00E767FC">
        <w:rPr>
          <w:rFonts w:cs="Arial"/>
          <w:color w:val="5F5F5F"/>
          <w:sz w:val="28"/>
          <w:szCs w:val="28"/>
        </w:rPr>
        <w:t xml:space="preserve"> retrouver dans les DASRI s’ils </w:t>
      </w:r>
      <w:r w:rsidRPr="0064673A">
        <w:rPr>
          <w:rFonts w:cs="Arial"/>
          <w:color w:val="5F5F5F"/>
          <w:sz w:val="28"/>
          <w:szCs w:val="28"/>
        </w:rPr>
        <w:t>sont souillés par des pr</w:t>
      </w:r>
      <w:r w:rsidR="00E767FC">
        <w:rPr>
          <w:rFonts w:cs="Arial"/>
          <w:color w:val="5F5F5F"/>
          <w:sz w:val="28"/>
          <w:szCs w:val="28"/>
        </w:rPr>
        <w:t xml:space="preserve">oduits biologiques à </w:t>
      </w:r>
      <w:r w:rsidR="00E767FC">
        <w:rPr>
          <w:rFonts w:cs="Arial"/>
          <w:color w:val="5F5F5F"/>
          <w:sz w:val="28"/>
          <w:szCs w:val="28"/>
        </w:rPr>
        <w:lastRenderedPageBreak/>
        <w:t xml:space="preserve">risque. En </w:t>
      </w:r>
      <w:r w:rsidRPr="0064673A">
        <w:rPr>
          <w:rFonts w:cs="Arial"/>
          <w:color w:val="5F5F5F"/>
          <w:sz w:val="28"/>
          <w:szCs w:val="28"/>
        </w:rPr>
        <w:t>revanche, les ha</w:t>
      </w:r>
      <w:r w:rsidR="00E767FC">
        <w:rPr>
          <w:rFonts w:cs="Arial"/>
          <w:color w:val="5F5F5F"/>
          <w:sz w:val="28"/>
          <w:szCs w:val="28"/>
        </w:rPr>
        <w:t xml:space="preserve">ricots sont en général souillés </w:t>
      </w:r>
      <w:r w:rsidRPr="0064673A">
        <w:rPr>
          <w:rFonts w:cs="Arial"/>
          <w:color w:val="5F5F5F"/>
          <w:sz w:val="28"/>
          <w:szCs w:val="28"/>
        </w:rPr>
        <w:t>(compresses…) e</w:t>
      </w:r>
      <w:r w:rsidR="00E767FC">
        <w:rPr>
          <w:rFonts w:cs="Arial"/>
          <w:color w:val="5F5F5F"/>
          <w:sz w:val="28"/>
          <w:szCs w:val="28"/>
        </w:rPr>
        <w:t xml:space="preserve">t peuvent être classés dans les </w:t>
      </w:r>
      <w:r w:rsidRPr="0064673A">
        <w:rPr>
          <w:rFonts w:cs="Arial"/>
          <w:color w:val="5F5F5F"/>
          <w:sz w:val="28"/>
          <w:szCs w:val="28"/>
        </w:rPr>
        <w:t>DASRI.</w:t>
      </w:r>
    </w:p>
    <w:p w:rsidR="00E767FC" w:rsidRPr="00E767FC" w:rsidRDefault="00E767FC" w:rsidP="00E767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>Les sacs poubelles dans les cabinets de toilette sont-ils des DASRI ?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>Les sacs poub</w:t>
      </w:r>
      <w:r w:rsidR="00E767FC">
        <w:rPr>
          <w:rFonts w:cs="Arial"/>
          <w:color w:val="5F5F5F"/>
          <w:sz w:val="28"/>
          <w:szCs w:val="28"/>
        </w:rPr>
        <w:t xml:space="preserve">elles ne sont pas des DASRI par </w:t>
      </w:r>
      <w:r w:rsidRPr="0064673A">
        <w:rPr>
          <w:rFonts w:cs="Arial"/>
          <w:color w:val="5F5F5F"/>
          <w:sz w:val="28"/>
          <w:szCs w:val="28"/>
        </w:rPr>
        <w:t>nature. Ils peuvent</w:t>
      </w:r>
      <w:r w:rsidR="00E767FC">
        <w:rPr>
          <w:rFonts w:cs="Arial"/>
          <w:color w:val="5F5F5F"/>
          <w:sz w:val="28"/>
          <w:szCs w:val="28"/>
        </w:rPr>
        <w:t xml:space="preserve"> de manière exceptionnelle être </w:t>
      </w:r>
      <w:r w:rsidRPr="0064673A">
        <w:rPr>
          <w:rFonts w:cs="Arial"/>
          <w:color w:val="5F5F5F"/>
          <w:sz w:val="28"/>
          <w:szCs w:val="28"/>
        </w:rPr>
        <w:t xml:space="preserve">classés par les établissements en tant que </w:t>
      </w:r>
      <w:r w:rsidR="00E767FC">
        <w:rPr>
          <w:rFonts w:cs="Arial"/>
          <w:color w:val="5F5F5F"/>
          <w:sz w:val="28"/>
          <w:szCs w:val="28"/>
        </w:rPr>
        <w:t xml:space="preserve">DASRI si </w:t>
      </w:r>
      <w:r w:rsidRPr="0064673A">
        <w:rPr>
          <w:rFonts w:cs="Arial"/>
          <w:color w:val="5F5F5F"/>
          <w:sz w:val="28"/>
          <w:szCs w:val="28"/>
        </w:rPr>
        <w:t>utilisés pour des patients placés en isolement.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>Comment mesure-t-on le délai entre la producti</w:t>
      </w:r>
      <w:r w:rsidR="004344E6">
        <w:rPr>
          <w:rFonts w:cs="Arial"/>
          <w:b/>
          <w:bCs/>
          <w:color w:val="5F5F5F"/>
          <w:sz w:val="28"/>
          <w:szCs w:val="28"/>
        </w:rPr>
        <w:t>on et l’élimination des DASRI ?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>Il s’agit, au sens stric</w:t>
      </w:r>
      <w:r w:rsidR="00E767FC">
        <w:rPr>
          <w:rFonts w:cs="Arial"/>
          <w:color w:val="5F5F5F"/>
          <w:sz w:val="28"/>
          <w:szCs w:val="28"/>
        </w:rPr>
        <w:t xml:space="preserve">t des textes, du délai entre le </w:t>
      </w:r>
      <w:r w:rsidRPr="0064673A">
        <w:rPr>
          <w:rFonts w:cs="Arial"/>
          <w:color w:val="5F5F5F"/>
          <w:sz w:val="28"/>
          <w:szCs w:val="28"/>
        </w:rPr>
        <w:t>moment auq</w:t>
      </w:r>
      <w:r w:rsidR="00E767FC">
        <w:rPr>
          <w:rFonts w:cs="Arial"/>
          <w:color w:val="5F5F5F"/>
          <w:sz w:val="28"/>
          <w:szCs w:val="28"/>
        </w:rPr>
        <w:t xml:space="preserve">uel le DASRI est produit et son </w:t>
      </w:r>
      <w:r w:rsidRPr="0064673A">
        <w:rPr>
          <w:rFonts w:cs="Arial"/>
          <w:color w:val="5F5F5F"/>
          <w:sz w:val="28"/>
          <w:szCs w:val="28"/>
        </w:rPr>
        <w:t>élimination. Ceci sig</w:t>
      </w:r>
      <w:r w:rsidR="00E767FC">
        <w:rPr>
          <w:rFonts w:cs="Arial"/>
          <w:color w:val="5F5F5F"/>
          <w:sz w:val="28"/>
          <w:szCs w:val="28"/>
        </w:rPr>
        <w:t xml:space="preserve">nifie donc que les temps de </w:t>
      </w:r>
      <w:r w:rsidRPr="0064673A">
        <w:rPr>
          <w:rFonts w:cs="Arial"/>
          <w:color w:val="5F5F5F"/>
          <w:sz w:val="28"/>
          <w:szCs w:val="28"/>
        </w:rPr>
        <w:t>conservation dans le loc</w:t>
      </w:r>
      <w:r w:rsidR="00E767FC">
        <w:rPr>
          <w:rFonts w:cs="Arial"/>
          <w:color w:val="5F5F5F"/>
          <w:sz w:val="28"/>
          <w:szCs w:val="28"/>
        </w:rPr>
        <w:t xml:space="preserve">al de production, puis dans les </w:t>
      </w:r>
      <w:r w:rsidRPr="0064673A">
        <w:rPr>
          <w:rFonts w:cs="Arial"/>
          <w:color w:val="5F5F5F"/>
          <w:sz w:val="28"/>
          <w:szCs w:val="28"/>
        </w:rPr>
        <w:t>locaux intermédiaires,</w:t>
      </w:r>
      <w:r w:rsidR="00E767FC">
        <w:rPr>
          <w:rFonts w:cs="Arial"/>
          <w:color w:val="5F5F5F"/>
          <w:sz w:val="28"/>
          <w:szCs w:val="28"/>
        </w:rPr>
        <w:t xml:space="preserve"> les temps de transport, et les </w:t>
      </w:r>
      <w:r w:rsidRPr="0064673A">
        <w:rPr>
          <w:rFonts w:cs="Arial"/>
          <w:color w:val="5F5F5F"/>
          <w:sz w:val="28"/>
          <w:szCs w:val="28"/>
        </w:rPr>
        <w:t>temps de prise en cha</w:t>
      </w:r>
      <w:r w:rsidR="00E767FC">
        <w:rPr>
          <w:rFonts w:cs="Arial"/>
          <w:color w:val="5F5F5F"/>
          <w:sz w:val="28"/>
          <w:szCs w:val="28"/>
        </w:rPr>
        <w:t xml:space="preserve">rge par l’entreprise chargée de </w:t>
      </w:r>
      <w:r w:rsidRPr="0064673A">
        <w:rPr>
          <w:rFonts w:cs="Arial"/>
          <w:color w:val="5F5F5F"/>
          <w:sz w:val="28"/>
          <w:szCs w:val="28"/>
        </w:rPr>
        <w:t>l’incinérat</w:t>
      </w:r>
      <w:r w:rsidR="00E767FC">
        <w:rPr>
          <w:rFonts w:cs="Arial"/>
          <w:color w:val="5F5F5F"/>
          <w:sz w:val="28"/>
          <w:szCs w:val="28"/>
        </w:rPr>
        <w:t xml:space="preserve">ion sont compris dans ce délai. </w:t>
      </w:r>
      <w:r w:rsidRPr="0064673A">
        <w:rPr>
          <w:rFonts w:cs="Arial"/>
          <w:color w:val="5F5F5F"/>
          <w:sz w:val="28"/>
          <w:szCs w:val="28"/>
        </w:rPr>
        <w:t xml:space="preserve">Dans la pratique il est </w:t>
      </w:r>
      <w:r w:rsidR="00E767FC">
        <w:rPr>
          <w:rFonts w:cs="Arial"/>
          <w:color w:val="5F5F5F"/>
          <w:sz w:val="28"/>
          <w:szCs w:val="28"/>
        </w:rPr>
        <w:t xml:space="preserve">souhaitable d’évacuer très vite </w:t>
      </w:r>
      <w:r w:rsidRPr="0064673A">
        <w:rPr>
          <w:rFonts w:cs="Arial"/>
          <w:color w:val="5F5F5F"/>
          <w:sz w:val="28"/>
          <w:szCs w:val="28"/>
        </w:rPr>
        <w:t>les DASRI des unités qui les produisent (une fois par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proofErr w:type="gramStart"/>
      <w:r w:rsidRPr="0064673A">
        <w:rPr>
          <w:rFonts w:cs="Arial"/>
          <w:color w:val="5F5F5F"/>
          <w:sz w:val="28"/>
          <w:szCs w:val="28"/>
        </w:rPr>
        <w:t>jour</w:t>
      </w:r>
      <w:proofErr w:type="gramEnd"/>
      <w:r w:rsidRPr="0064673A">
        <w:rPr>
          <w:rFonts w:cs="Arial"/>
          <w:color w:val="5F5F5F"/>
          <w:sz w:val="28"/>
          <w:szCs w:val="28"/>
        </w:rPr>
        <w:t>, si possible, d</w:t>
      </w:r>
      <w:r w:rsidR="00E767FC">
        <w:rPr>
          <w:rFonts w:cs="Arial"/>
          <w:color w:val="5F5F5F"/>
          <w:sz w:val="28"/>
          <w:szCs w:val="28"/>
        </w:rPr>
        <w:t xml:space="preserve">ès que les 100 kg hebdomadaires </w:t>
      </w:r>
      <w:r w:rsidRPr="0064673A">
        <w:rPr>
          <w:rFonts w:cs="Arial"/>
          <w:color w:val="5F5F5F"/>
          <w:sz w:val="28"/>
          <w:szCs w:val="28"/>
        </w:rPr>
        <w:t>sont atteints dans l’étab</w:t>
      </w:r>
      <w:r w:rsidR="00E767FC">
        <w:rPr>
          <w:rFonts w:cs="Arial"/>
          <w:color w:val="5F5F5F"/>
          <w:sz w:val="28"/>
          <w:szCs w:val="28"/>
        </w:rPr>
        <w:t xml:space="preserve">lissement) et de faire en sorte </w:t>
      </w:r>
      <w:r w:rsidRPr="0064673A">
        <w:rPr>
          <w:rFonts w:cs="Arial"/>
          <w:color w:val="5F5F5F"/>
          <w:sz w:val="28"/>
          <w:szCs w:val="28"/>
        </w:rPr>
        <w:t>que les délais d’e</w:t>
      </w:r>
      <w:r w:rsidR="00E767FC">
        <w:rPr>
          <w:rFonts w:cs="Arial"/>
          <w:color w:val="5F5F5F"/>
          <w:sz w:val="28"/>
          <w:szCs w:val="28"/>
        </w:rPr>
        <w:t xml:space="preserve">ntreposage intermédiaire soient </w:t>
      </w:r>
      <w:r w:rsidRPr="0064673A">
        <w:rPr>
          <w:rFonts w:cs="Arial"/>
          <w:color w:val="5F5F5F"/>
          <w:sz w:val="28"/>
          <w:szCs w:val="28"/>
        </w:rPr>
        <w:t>inférieurs à 24 heures.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 xml:space="preserve">Quelle taille </w:t>
      </w:r>
      <w:r w:rsidR="001853DF" w:rsidRPr="0064673A">
        <w:rPr>
          <w:rFonts w:cs="Arial"/>
          <w:b/>
          <w:bCs/>
          <w:color w:val="5F5F5F"/>
          <w:sz w:val="28"/>
          <w:szCs w:val="28"/>
        </w:rPr>
        <w:t>doit</w:t>
      </w:r>
      <w:r w:rsidRPr="0064673A">
        <w:rPr>
          <w:rFonts w:cs="Arial"/>
          <w:b/>
          <w:bCs/>
          <w:color w:val="5F5F5F"/>
          <w:sz w:val="28"/>
          <w:szCs w:val="28"/>
        </w:rPr>
        <w:t xml:space="preserve"> avoir les lieux d’entreposage?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>La taille des lieux d’</w:t>
      </w:r>
      <w:r w:rsidR="00E767FC">
        <w:rPr>
          <w:rFonts w:cs="Arial"/>
          <w:color w:val="5F5F5F"/>
          <w:sz w:val="28"/>
          <w:szCs w:val="28"/>
        </w:rPr>
        <w:t xml:space="preserve">entreposage doit être adaptée à </w:t>
      </w:r>
      <w:r w:rsidRPr="0064673A">
        <w:rPr>
          <w:rFonts w:cs="Arial"/>
          <w:color w:val="5F5F5F"/>
          <w:sz w:val="28"/>
          <w:szCs w:val="28"/>
        </w:rPr>
        <w:t>l’activité des unités de s</w:t>
      </w:r>
      <w:r w:rsidR="00E767FC">
        <w:rPr>
          <w:rFonts w:cs="Arial"/>
          <w:color w:val="5F5F5F"/>
          <w:sz w:val="28"/>
          <w:szCs w:val="28"/>
        </w:rPr>
        <w:t xml:space="preserve">oins qui y sont rattachées et à </w:t>
      </w:r>
      <w:r w:rsidRPr="0064673A">
        <w:rPr>
          <w:rFonts w:cs="Arial"/>
          <w:color w:val="5F5F5F"/>
          <w:sz w:val="28"/>
          <w:szCs w:val="28"/>
        </w:rPr>
        <w:t>la logistique (un ou plusieurs enlèvements par jour).</w:t>
      </w:r>
    </w:p>
    <w:p w:rsidR="00550679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E767FC" w:rsidRPr="0064673A" w:rsidRDefault="00E767FC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>Peut-on collecter les OM et les DASRI en même temps ?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>Il n’est pas interdit de</w:t>
      </w:r>
      <w:r w:rsidR="00E767FC">
        <w:rPr>
          <w:rFonts w:cs="Arial"/>
          <w:color w:val="5F5F5F"/>
          <w:sz w:val="28"/>
          <w:szCs w:val="28"/>
        </w:rPr>
        <w:t xml:space="preserve"> collecter plusieurs natures de </w:t>
      </w:r>
      <w:r w:rsidRPr="0064673A">
        <w:rPr>
          <w:rFonts w:cs="Arial"/>
          <w:color w:val="5F5F5F"/>
          <w:sz w:val="28"/>
          <w:szCs w:val="28"/>
        </w:rPr>
        <w:t>déchets en même temps. En revanche, si un sac de</w:t>
      </w:r>
      <w:r w:rsidR="00E767FC">
        <w:rPr>
          <w:rFonts w:cs="Arial"/>
          <w:color w:val="5F5F5F"/>
          <w:sz w:val="28"/>
          <w:szCs w:val="28"/>
        </w:rPr>
        <w:t xml:space="preserve"> </w:t>
      </w:r>
      <w:r w:rsidRPr="0064673A">
        <w:rPr>
          <w:rFonts w:cs="Arial"/>
          <w:color w:val="5F5F5F"/>
          <w:sz w:val="28"/>
          <w:szCs w:val="28"/>
        </w:rPr>
        <w:t>DASRI s’évent</w:t>
      </w:r>
      <w:r w:rsidR="00E767FC">
        <w:rPr>
          <w:rFonts w:cs="Arial"/>
          <w:color w:val="5F5F5F"/>
          <w:sz w:val="28"/>
          <w:szCs w:val="28"/>
        </w:rPr>
        <w:t xml:space="preserve">re, toutes les OM du roll / GRV </w:t>
      </w:r>
      <w:r w:rsidRPr="0064673A">
        <w:rPr>
          <w:rFonts w:cs="Arial"/>
          <w:color w:val="5F5F5F"/>
          <w:sz w:val="28"/>
          <w:szCs w:val="28"/>
        </w:rPr>
        <w:t>deviennent alors DASRI.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F5F5F"/>
          <w:sz w:val="28"/>
          <w:szCs w:val="28"/>
        </w:rPr>
      </w:pPr>
      <w:r w:rsidRPr="0064673A">
        <w:rPr>
          <w:rFonts w:cs="Arial"/>
          <w:color w:val="5F5F5F"/>
          <w:sz w:val="28"/>
          <w:szCs w:val="28"/>
        </w:rPr>
        <w:t>Dans la pratique, il n’est en général pas recom</w:t>
      </w:r>
      <w:r w:rsidR="00E767FC">
        <w:rPr>
          <w:rFonts w:cs="Arial"/>
          <w:color w:val="5F5F5F"/>
          <w:sz w:val="28"/>
          <w:szCs w:val="28"/>
        </w:rPr>
        <w:t xml:space="preserve">mandé de les transporter, même provisoirement, dans un </w:t>
      </w:r>
      <w:r w:rsidRPr="0064673A">
        <w:rPr>
          <w:rFonts w:cs="Arial"/>
          <w:color w:val="5F5F5F"/>
          <w:sz w:val="28"/>
          <w:szCs w:val="28"/>
        </w:rPr>
        <w:t>même contenant.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>Qui est responsable des déchets ? Qui est le producteur ?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r w:rsidRPr="00E767FC">
        <w:rPr>
          <w:rFonts w:cs="Arial"/>
          <w:bCs/>
          <w:color w:val="5F5F5F"/>
          <w:sz w:val="28"/>
          <w:szCs w:val="28"/>
        </w:rPr>
        <w:t>Le responsable de l</w:t>
      </w:r>
      <w:r w:rsidR="00E767FC">
        <w:rPr>
          <w:rFonts w:cs="Arial"/>
          <w:bCs/>
          <w:color w:val="5F5F5F"/>
          <w:sz w:val="28"/>
          <w:szCs w:val="28"/>
        </w:rPr>
        <w:t xml:space="preserve">a bonne élimination des déchets </w:t>
      </w:r>
      <w:r w:rsidRPr="00E767FC">
        <w:rPr>
          <w:rFonts w:cs="Arial"/>
          <w:bCs/>
          <w:color w:val="5F5F5F"/>
          <w:sz w:val="28"/>
          <w:szCs w:val="28"/>
        </w:rPr>
        <w:t>est le directeur de l’ét</w:t>
      </w:r>
      <w:r w:rsidR="00E767FC">
        <w:rPr>
          <w:rFonts w:cs="Arial"/>
          <w:bCs/>
          <w:color w:val="5F5F5F"/>
          <w:sz w:val="28"/>
          <w:szCs w:val="28"/>
        </w:rPr>
        <w:t xml:space="preserve">ablissement. La traçabilité des </w:t>
      </w:r>
      <w:r w:rsidRPr="00E767FC">
        <w:rPr>
          <w:rFonts w:cs="Arial"/>
          <w:bCs/>
          <w:color w:val="5F5F5F"/>
          <w:sz w:val="28"/>
          <w:szCs w:val="28"/>
        </w:rPr>
        <w:t>déchets est donc un élément important pour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proofErr w:type="gramStart"/>
      <w:r w:rsidRPr="00E767FC">
        <w:rPr>
          <w:rFonts w:cs="Arial"/>
          <w:bCs/>
          <w:color w:val="5F5F5F"/>
          <w:sz w:val="28"/>
          <w:szCs w:val="28"/>
        </w:rPr>
        <w:lastRenderedPageBreak/>
        <w:t>l’établissement</w:t>
      </w:r>
      <w:proofErr w:type="gramEnd"/>
      <w:r w:rsidRPr="00E767FC">
        <w:rPr>
          <w:rFonts w:cs="Arial"/>
          <w:bCs/>
          <w:color w:val="5F5F5F"/>
          <w:sz w:val="28"/>
          <w:szCs w:val="28"/>
        </w:rPr>
        <w:t xml:space="preserve"> product</w:t>
      </w:r>
      <w:r w:rsidR="00E767FC">
        <w:rPr>
          <w:rFonts w:cs="Arial"/>
          <w:bCs/>
          <w:color w:val="5F5F5F"/>
          <w:sz w:val="28"/>
          <w:szCs w:val="28"/>
        </w:rPr>
        <w:t xml:space="preserve">eur, dans la mesure où elle lui </w:t>
      </w:r>
      <w:r w:rsidRPr="00E767FC">
        <w:rPr>
          <w:rFonts w:cs="Arial"/>
          <w:bCs/>
          <w:color w:val="5F5F5F"/>
          <w:sz w:val="28"/>
          <w:szCs w:val="28"/>
        </w:rPr>
        <w:t>permet de prouve</w:t>
      </w:r>
      <w:r w:rsidR="00E767FC">
        <w:rPr>
          <w:rFonts w:cs="Arial"/>
          <w:bCs/>
          <w:color w:val="5F5F5F"/>
          <w:sz w:val="28"/>
          <w:szCs w:val="28"/>
        </w:rPr>
        <w:t xml:space="preserve">r qu’il a pris les dispositions </w:t>
      </w:r>
      <w:r w:rsidRPr="00E767FC">
        <w:rPr>
          <w:rFonts w:cs="Arial"/>
          <w:bCs/>
          <w:color w:val="5F5F5F"/>
          <w:sz w:val="28"/>
          <w:szCs w:val="28"/>
        </w:rPr>
        <w:t>nécessaires pour remplir correctement ses obligations.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r w:rsidRPr="00E767FC">
        <w:rPr>
          <w:rFonts w:cs="Arial"/>
          <w:bCs/>
          <w:color w:val="5F5F5F"/>
          <w:sz w:val="28"/>
          <w:szCs w:val="28"/>
        </w:rPr>
        <w:t>En cas d’incident</w:t>
      </w:r>
      <w:r w:rsidR="00E767FC">
        <w:rPr>
          <w:rFonts w:cs="Arial"/>
          <w:bCs/>
          <w:color w:val="5F5F5F"/>
          <w:sz w:val="28"/>
          <w:szCs w:val="28"/>
        </w:rPr>
        <w:t xml:space="preserve">, l’exploitation de ces données </w:t>
      </w:r>
      <w:r w:rsidRPr="00E767FC">
        <w:rPr>
          <w:rFonts w:cs="Arial"/>
          <w:bCs/>
          <w:color w:val="5F5F5F"/>
          <w:sz w:val="28"/>
          <w:szCs w:val="28"/>
        </w:rPr>
        <w:t>permet de rechercher les</w:t>
      </w:r>
      <w:r w:rsidR="00E767FC">
        <w:rPr>
          <w:rFonts w:cs="Arial"/>
          <w:bCs/>
          <w:color w:val="5F5F5F"/>
          <w:sz w:val="28"/>
          <w:szCs w:val="28"/>
        </w:rPr>
        <w:t xml:space="preserve"> solutions possibles avec les </w:t>
      </w:r>
      <w:r w:rsidRPr="00E767FC">
        <w:rPr>
          <w:rFonts w:cs="Arial"/>
          <w:bCs/>
          <w:color w:val="5F5F5F"/>
          <w:sz w:val="28"/>
          <w:szCs w:val="28"/>
        </w:rPr>
        <w:t>parties concernées.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r w:rsidRPr="00E767FC">
        <w:rPr>
          <w:rFonts w:cs="Arial"/>
          <w:bCs/>
          <w:color w:val="5F5F5F"/>
          <w:sz w:val="28"/>
          <w:szCs w:val="28"/>
        </w:rPr>
        <w:t>Par ailleurs, afin de maî</w:t>
      </w:r>
      <w:r w:rsidR="00E767FC">
        <w:rPr>
          <w:rFonts w:cs="Arial"/>
          <w:bCs/>
          <w:color w:val="5F5F5F"/>
          <w:sz w:val="28"/>
          <w:szCs w:val="28"/>
        </w:rPr>
        <w:t xml:space="preserve">triser la bonne application des </w:t>
      </w:r>
      <w:r w:rsidRPr="00E767FC">
        <w:rPr>
          <w:rFonts w:cs="Arial"/>
          <w:bCs/>
          <w:color w:val="5F5F5F"/>
          <w:sz w:val="28"/>
          <w:szCs w:val="28"/>
        </w:rPr>
        <w:t>dispositions internes</w:t>
      </w:r>
      <w:r w:rsidR="00E767FC">
        <w:rPr>
          <w:rFonts w:cs="Arial"/>
          <w:bCs/>
          <w:color w:val="5F5F5F"/>
          <w:sz w:val="28"/>
          <w:szCs w:val="28"/>
        </w:rPr>
        <w:t xml:space="preserve"> et des protocoles établis dans </w:t>
      </w:r>
      <w:r w:rsidRPr="00E767FC">
        <w:rPr>
          <w:rFonts w:cs="Arial"/>
          <w:bCs/>
          <w:color w:val="5F5F5F"/>
          <w:sz w:val="28"/>
          <w:szCs w:val="28"/>
        </w:rPr>
        <w:t xml:space="preserve">l’établissement de soins </w:t>
      </w:r>
      <w:r w:rsidR="00E767FC">
        <w:rPr>
          <w:rFonts w:cs="Arial"/>
          <w:bCs/>
          <w:color w:val="5F5F5F"/>
          <w:sz w:val="28"/>
          <w:szCs w:val="28"/>
        </w:rPr>
        <w:t xml:space="preserve">ou de les faire évoluer, il est </w:t>
      </w:r>
      <w:r w:rsidRPr="00E767FC">
        <w:rPr>
          <w:rFonts w:cs="Arial"/>
          <w:bCs/>
          <w:color w:val="5F5F5F"/>
          <w:sz w:val="28"/>
          <w:szCs w:val="28"/>
        </w:rPr>
        <w:t>possible de faire des campagnes de rele</w:t>
      </w:r>
      <w:r w:rsidR="00E767FC">
        <w:rPr>
          <w:rFonts w:cs="Arial"/>
          <w:bCs/>
          <w:color w:val="5F5F5F"/>
          <w:sz w:val="28"/>
          <w:szCs w:val="28"/>
        </w:rPr>
        <w:t xml:space="preserve">vés de poids </w:t>
      </w:r>
      <w:r w:rsidRPr="00E767FC">
        <w:rPr>
          <w:rFonts w:cs="Arial"/>
          <w:bCs/>
          <w:color w:val="5F5F5F"/>
          <w:sz w:val="28"/>
          <w:szCs w:val="28"/>
        </w:rPr>
        <w:t>et de volumes</w:t>
      </w:r>
      <w:r w:rsidR="00E767FC">
        <w:rPr>
          <w:rFonts w:cs="Arial"/>
          <w:bCs/>
          <w:color w:val="5F5F5F"/>
          <w:sz w:val="28"/>
          <w:szCs w:val="28"/>
        </w:rPr>
        <w:t xml:space="preserve"> des déchets collectés dans les </w:t>
      </w:r>
      <w:r w:rsidRPr="00E767FC">
        <w:rPr>
          <w:rFonts w:cs="Arial"/>
          <w:bCs/>
          <w:color w:val="5F5F5F"/>
          <w:sz w:val="28"/>
          <w:szCs w:val="28"/>
        </w:rPr>
        <w:t>différentes filières, à la sortie des principales unités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proofErr w:type="gramStart"/>
      <w:r w:rsidRPr="00E767FC">
        <w:rPr>
          <w:rFonts w:cs="Arial"/>
          <w:bCs/>
          <w:color w:val="5F5F5F"/>
          <w:sz w:val="28"/>
          <w:szCs w:val="28"/>
        </w:rPr>
        <w:t>productrices</w:t>
      </w:r>
      <w:proofErr w:type="gramEnd"/>
      <w:r w:rsidRPr="00E767FC">
        <w:rPr>
          <w:rFonts w:cs="Arial"/>
          <w:bCs/>
          <w:color w:val="5F5F5F"/>
          <w:sz w:val="28"/>
          <w:szCs w:val="28"/>
        </w:rPr>
        <w:t>, et de sur</w:t>
      </w:r>
      <w:r w:rsidR="00E767FC">
        <w:rPr>
          <w:rFonts w:cs="Arial"/>
          <w:bCs/>
          <w:color w:val="5F5F5F"/>
          <w:sz w:val="28"/>
          <w:szCs w:val="28"/>
        </w:rPr>
        <w:t xml:space="preserve">veiller les zones géographiques </w:t>
      </w:r>
      <w:r w:rsidRPr="00E767FC">
        <w:rPr>
          <w:rFonts w:cs="Arial"/>
          <w:bCs/>
          <w:color w:val="5F5F5F"/>
          <w:sz w:val="28"/>
          <w:szCs w:val="28"/>
        </w:rPr>
        <w:t>pour lesquelles les circuits sont parfois mal séparés.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  <w:r w:rsidRPr="0064673A">
        <w:rPr>
          <w:rFonts w:cs="Arial"/>
          <w:b/>
          <w:bCs/>
          <w:color w:val="5F5F5F"/>
          <w:sz w:val="28"/>
          <w:szCs w:val="28"/>
        </w:rPr>
        <w:t>Y a-t-il une réglementation particulière concernant les circuits internes de DASRI ?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r w:rsidRPr="00E767FC">
        <w:rPr>
          <w:rFonts w:cs="Arial"/>
          <w:bCs/>
          <w:color w:val="5F5F5F"/>
          <w:sz w:val="28"/>
          <w:szCs w:val="28"/>
        </w:rPr>
        <w:t>Non, à partir du moment où les DASRI sont dans des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proofErr w:type="gramStart"/>
      <w:r w:rsidRPr="00E767FC">
        <w:rPr>
          <w:rFonts w:cs="Arial"/>
          <w:bCs/>
          <w:color w:val="5F5F5F"/>
          <w:sz w:val="28"/>
          <w:szCs w:val="28"/>
        </w:rPr>
        <w:t>emballages</w:t>
      </w:r>
      <w:proofErr w:type="gramEnd"/>
      <w:r w:rsidRPr="00E767FC">
        <w:rPr>
          <w:rFonts w:cs="Arial"/>
          <w:bCs/>
          <w:color w:val="5F5F5F"/>
          <w:sz w:val="28"/>
          <w:szCs w:val="28"/>
        </w:rPr>
        <w:t xml:space="preserve"> fermés. Sauf exception, il n’est donc pas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proofErr w:type="gramStart"/>
      <w:r w:rsidRPr="00E767FC">
        <w:rPr>
          <w:rFonts w:cs="Arial"/>
          <w:bCs/>
          <w:color w:val="5F5F5F"/>
          <w:sz w:val="28"/>
          <w:szCs w:val="28"/>
        </w:rPr>
        <w:t>interdit</w:t>
      </w:r>
      <w:proofErr w:type="gramEnd"/>
      <w:r w:rsidRPr="00E767FC">
        <w:rPr>
          <w:rFonts w:cs="Arial"/>
          <w:bCs/>
          <w:color w:val="5F5F5F"/>
          <w:sz w:val="28"/>
          <w:szCs w:val="28"/>
        </w:rPr>
        <w:t xml:space="preserve"> de faire passer des déchets emballés dans les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proofErr w:type="gramStart"/>
      <w:r w:rsidRPr="00E767FC">
        <w:rPr>
          <w:rFonts w:cs="Arial"/>
          <w:bCs/>
          <w:color w:val="5F5F5F"/>
          <w:sz w:val="28"/>
          <w:szCs w:val="28"/>
        </w:rPr>
        <w:t>moyens</w:t>
      </w:r>
      <w:proofErr w:type="gramEnd"/>
      <w:r w:rsidRPr="00E767FC">
        <w:rPr>
          <w:rFonts w:cs="Arial"/>
          <w:bCs/>
          <w:color w:val="5F5F5F"/>
          <w:sz w:val="28"/>
          <w:szCs w:val="28"/>
        </w:rPr>
        <w:t xml:space="preserve"> de transport verticaux (ascenseurs, monte</w:t>
      </w:r>
      <w:r w:rsidR="00E767FC">
        <w:rPr>
          <w:rFonts w:cs="Arial"/>
          <w:bCs/>
          <w:color w:val="5F5F5F"/>
          <w:sz w:val="28"/>
          <w:szCs w:val="28"/>
        </w:rPr>
        <w:t xml:space="preserve"> </w:t>
      </w:r>
      <w:r w:rsidRPr="00E767FC">
        <w:rPr>
          <w:rFonts w:cs="Arial"/>
          <w:bCs/>
          <w:color w:val="5F5F5F"/>
          <w:sz w:val="28"/>
          <w:szCs w:val="28"/>
        </w:rPr>
        <w:t>charges).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r w:rsidRPr="00E767FC">
        <w:rPr>
          <w:rFonts w:cs="Arial"/>
          <w:bCs/>
          <w:color w:val="5F5F5F"/>
          <w:sz w:val="28"/>
          <w:szCs w:val="28"/>
        </w:rPr>
        <w:t>La désinfection et le nettoyage doivent être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proofErr w:type="gramStart"/>
      <w:r w:rsidRPr="00E767FC">
        <w:rPr>
          <w:rFonts w:cs="Arial"/>
          <w:bCs/>
          <w:color w:val="5F5F5F"/>
          <w:sz w:val="28"/>
          <w:szCs w:val="28"/>
        </w:rPr>
        <w:t>prévus</w:t>
      </w:r>
      <w:proofErr w:type="gramEnd"/>
      <w:r w:rsidRPr="00E767FC">
        <w:rPr>
          <w:rFonts w:cs="Arial"/>
          <w:bCs/>
          <w:color w:val="5F5F5F"/>
          <w:sz w:val="28"/>
          <w:szCs w:val="28"/>
        </w:rPr>
        <w:t>, en particulier en cas d’accident ou de fuite (cf.</w:t>
      </w:r>
    </w:p>
    <w:p w:rsidR="00550679" w:rsidRPr="00E767FC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5F5F5F"/>
          <w:sz w:val="28"/>
          <w:szCs w:val="28"/>
        </w:rPr>
      </w:pPr>
      <w:proofErr w:type="gramStart"/>
      <w:r w:rsidRPr="00E767FC">
        <w:rPr>
          <w:rFonts w:cs="Arial"/>
          <w:bCs/>
          <w:color w:val="5F5F5F"/>
          <w:sz w:val="28"/>
          <w:szCs w:val="28"/>
        </w:rPr>
        <w:t>par</w:t>
      </w:r>
      <w:proofErr w:type="gramEnd"/>
      <w:r w:rsidRPr="00E767FC">
        <w:rPr>
          <w:rFonts w:cs="Arial"/>
          <w:bCs/>
          <w:color w:val="5F5F5F"/>
          <w:sz w:val="28"/>
          <w:szCs w:val="28"/>
        </w:rPr>
        <w:t xml:space="preserve"> analogie les problèmes de transport routier).</w:t>
      </w: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p w:rsidR="00550679" w:rsidRPr="0064673A" w:rsidRDefault="00550679" w:rsidP="00550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5F5F5F"/>
          <w:sz w:val="28"/>
          <w:szCs w:val="28"/>
        </w:rPr>
      </w:pPr>
    </w:p>
    <w:sectPr w:rsidR="00550679" w:rsidRPr="0064673A" w:rsidSect="00C87C64">
      <w:headerReference w:type="default" r:id="rId6"/>
      <w:footerReference w:type="default" r:id="rId7"/>
      <w:pgSz w:w="11906" w:h="16838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F4" w:rsidRDefault="00DD45F4" w:rsidP="00154ED5">
      <w:pPr>
        <w:spacing w:after="0" w:line="240" w:lineRule="auto"/>
      </w:pPr>
      <w:r>
        <w:separator/>
      </w:r>
    </w:p>
  </w:endnote>
  <w:endnote w:type="continuationSeparator" w:id="0">
    <w:p w:rsidR="00DD45F4" w:rsidRDefault="00DD45F4" w:rsidP="0015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64" w:rsidRDefault="00586465" w:rsidP="00C87C64">
    <w:pPr>
      <w:pStyle w:val="Pieddepage"/>
    </w:pPr>
    <w:fldSimple w:instr=" FILENAME  \p  \* MERGEFORMAT ">
      <w:r w:rsidR="00BB44EC">
        <w:rPr>
          <w:noProof/>
        </w:rPr>
        <w:t>O:\Dossiers Partagés\Villefranche\IFSI\C- Formation IDE\C5 - Form. théorique\C.5.5 - Année de form et UE\Promo_2024-2027\UE 2\UE 2.10\2. Cours\TPG Les circuits\LES DECHETS CORRIGE AUTOEVALUATION.docx</w:t>
      </w:r>
    </w:fldSimple>
    <w:r w:rsidR="00C87C64">
      <w:t xml:space="preserve">-MAJ </w:t>
    </w:r>
    <w:r w:rsidR="00C87C64">
      <w:fldChar w:fldCharType="begin"/>
    </w:r>
    <w:r w:rsidR="00C87C64">
      <w:instrText xml:space="preserve"> TIME \@ "dd/MM/yyyy" </w:instrText>
    </w:r>
    <w:r w:rsidR="00C87C64">
      <w:fldChar w:fldCharType="separate"/>
    </w:r>
    <w:r w:rsidR="00BB44EC">
      <w:rPr>
        <w:noProof/>
      </w:rPr>
      <w:t>30/08/2024</w:t>
    </w:r>
    <w:r w:rsidR="00C87C64">
      <w:fldChar w:fldCharType="end"/>
    </w:r>
  </w:p>
  <w:p w:rsidR="001853DF" w:rsidRPr="00011035" w:rsidRDefault="001853DF" w:rsidP="000110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F4" w:rsidRDefault="00DD45F4" w:rsidP="00154ED5">
      <w:pPr>
        <w:spacing w:after="0" w:line="240" w:lineRule="auto"/>
      </w:pPr>
      <w:r>
        <w:separator/>
      </w:r>
    </w:p>
  </w:footnote>
  <w:footnote w:type="continuationSeparator" w:id="0">
    <w:p w:rsidR="00DD45F4" w:rsidRDefault="00DD45F4" w:rsidP="0015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F4" w:rsidRDefault="00693A99">
    <w:pPr>
      <w:pStyle w:val="En-tte"/>
    </w:pPr>
    <w:r>
      <w:rPr>
        <w:noProof/>
        <w:lang w:eastAsia="fr-FR"/>
      </w:rPr>
      <w:drawing>
        <wp:inline distT="0" distB="0" distL="0" distR="0" wp14:anchorId="2F97A558" wp14:editId="67AEE78D">
          <wp:extent cx="5194300" cy="831850"/>
          <wp:effectExtent l="0" t="0" r="6350" b="6350"/>
          <wp:docPr id="2" name="Image 2" descr="cid:image001.png@01DAF92B.6C677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1.png@01DAF92B.6C6773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D5"/>
    <w:rsid w:val="00011035"/>
    <w:rsid w:val="00026C85"/>
    <w:rsid w:val="000A4771"/>
    <w:rsid w:val="00154ED5"/>
    <w:rsid w:val="001853DF"/>
    <w:rsid w:val="003B6A88"/>
    <w:rsid w:val="003E7C11"/>
    <w:rsid w:val="004344E6"/>
    <w:rsid w:val="004D63A5"/>
    <w:rsid w:val="00550679"/>
    <w:rsid w:val="00586465"/>
    <w:rsid w:val="0060037C"/>
    <w:rsid w:val="0064673A"/>
    <w:rsid w:val="00693A99"/>
    <w:rsid w:val="00921679"/>
    <w:rsid w:val="00A12C66"/>
    <w:rsid w:val="00BB44EC"/>
    <w:rsid w:val="00C87C64"/>
    <w:rsid w:val="00DD45F4"/>
    <w:rsid w:val="00E7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BBA9017-485B-4C36-A0AF-EFFBCB38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ED5"/>
  </w:style>
  <w:style w:type="paragraph" w:styleId="Pieddepage">
    <w:name w:val="footer"/>
    <w:basedOn w:val="Normal"/>
    <w:link w:val="PieddepageCar"/>
    <w:uiPriority w:val="99"/>
    <w:unhideWhenUsed/>
    <w:rsid w:val="0015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ED5"/>
  </w:style>
  <w:style w:type="paragraph" w:styleId="Textedebulles">
    <w:name w:val="Balloon Text"/>
    <w:basedOn w:val="Normal"/>
    <w:link w:val="TextedebullesCar"/>
    <w:uiPriority w:val="99"/>
    <w:semiHidden/>
    <w:unhideWhenUsed/>
    <w:rsid w:val="0015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E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92B.6C677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TURLIN Yamina (Cadre de Santé formateur)</dc:creator>
  <cp:lastModifiedBy>TURLIN Yamina (Cadre de Santé formateur)</cp:lastModifiedBy>
  <cp:revision>16</cp:revision>
  <cp:lastPrinted>2024-08-30T09:37:00Z</cp:lastPrinted>
  <dcterms:created xsi:type="dcterms:W3CDTF">2016-10-03T13:53:00Z</dcterms:created>
  <dcterms:modified xsi:type="dcterms:W3CDTF">2024-08-30T09:38:00Z</dcterms:modified>
</cp:coreProperties>
</file>