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2A46F" w14:textId="455307F0" w:rsidR="009F1163" w:rsidRDefault="00D56B69" w:rsidP="009F1163">
      <w:pPr>
        <w:pStyle w:val="Titre1"/>
        <w:spacing w:before="0"/>
        <w:rPr>
          <w:b w:val="0"/>
          <w:bCs w:val="0"/>
          <w:color w:val="auto"/>
          <w:u w:val="single"/>
          <w:lang w:val="fr-FR"/>
        </w:rPr>
      </w:pPr>
      <w:r>
        <w:rPr>
          <w:b w:val="0"/>
          <w:bCs w:val="0"/>
          <w:color w:val="auto"/>
          <w:u w:val="single"/>
          <w:lang w:val="fr-FR"/>
        </w:rPr>
        <w:t xml:space="preserve">I/ </w:t>
      </w:r>
      <w:r w:rsidR="009F1163" w:rsidRPr="00D56B69">
        <w:rPr>
          <w:b w:val="0"/>
          <w:bCs w:val="0"/>
          <w:color w:val="auto"/>
          <w:u w:val="single"/>
          <w:lang w:val="fr-FR"/>
        </w:rPr>
        <w:t>Rappels :</w:t>
      </w:r>
    </w:p>
    <w:p w14:paraId="1D59E495" w14:textId="15816D0B" w:rsidR="00384DBA" w:rsidRPr="00384DBA" w:rsidRDefault="00384DBA" w:rsidP="00384DBA">
      <w:pPr>
        <w:rPr>
          <w:rFonts w:asciiTheme="majorHAnsi" w:hAnsiTheme="majorHAnsi" w:cstheme="majorHAnsi"/>
          <w:i/>
          <w:iCs/>
          <w:sz w:val="28"/>
          <w:szCs w:val="28"/>
          <w:lang w:val="fr-FR"/>
        </w:rPr>
      </w:pPr>
      <w:r w:rsidRPr="00384DBA">
        <w:rPr>
          <w:rFonts w:asciiTheme="majorHAnsi" w:hAnsiTheme="majorHAnsi" w:cstheme="majorHAnsi"/>
          <w:i/>
          <w:iCs/>
          <w:sz w:val="28"/>
          <w:szCs w:val="28"/>
          <w:lang w:val="fr-FR"/>
        </w:rPr>
        <w:t>Répondez au questionnaire suivant portant sur des notions du CM1</w:t>
      </w:r>
    </w:p>
    <w:p w14:paraId="1E7BC718" w14:textId="472F9C41" w:rsidR="00384DBA" w:rsidRDefault="0053344D" w:rsidP="00384DBA">
      <w:pPr>
        <w:jc w:val="both"/>
        <w:rPr>
          <w:sz w:val="28"/>
          <w:szCs w:val="28"/>
          <w:lang w:val="fr-FR"/>
        </w:rPr>
      </w:pPr>
      <w:hyperlink r:id="rId6" w:history="1">
        <w:r w:rsidR="00384DBA" w:rsidRPr="00E665B3">
          <w:rPr>
            <w:rStyle w:val="Lienhypertexte"/>
            <w:sz w:val="28"/>
            <w:szCs w:val="28"/>
            <w:lang w:val="fr-FR"/>
          </w:rPr>
          <w:t>https://app.wooclap.com/CM2GER25/questionnaires/689b0fbb2900521c4c58b76c</w:t>
        </w:r>
      </w:hyperlink>
    </w:p>
    <w:p w14:paraId="533E5B59" w14:textId="77777777" w:rsidR="009F1163" w:rsidRDefault="009F1163">
      <w:pPr>
        <w:pStyle w:val="Titre1"/>
        <w:rPr>
          <w:lang w:val="fr-FR"/>
        </w:rPr>
      </w:pPr>
    </w:p>
    <w:p w14:paraId="259876A8" w14:textId="7F46DF31" w:rsidR="0031643D" w:rsidRPr="00D56B69" w:rsidRDefault="00D56B69" w:rsidP="00D56B69">
      <w:pPr>
        <w:pStyle w:val="Titre1"/>
        <w:spacing w:before="0"/>
        <w:rPr>
          <w:b w:val="0"/>
          <w:bCs w:val="0"/>
          <w:color w:val="auto"/>
          <w:u w:val="single"/>
          <w:lang w:val="fr-FR"/>
        </w:rPr>
      </w:pPr>
      <w:r w:rsidRPr="00D56B69">
        <w:rPr>
          <w:b w:val="0"/>
          <w:bCs w:val="0"/>
          <w:color w:val="auto"/>
          <w:u w:val="single"/>
          <w:lang w:val="fr-FR"/>
        </w:rPr>
        <w:t>II/ Cas cliniques et analyse kinésithérapique en gérontologie</w:t>
      </w:r>
    </w:p>
    <w:p w14:paraId="650CD44F" w14:textId="77777777" w:rsidR="0031643D" w:rsidRPr="00D02F02" w:rsidRDefault="0053344D">
      <w:pPr>
        <w:pStyle w:val="Titre2"/>
        <w:rPr>
          <w:lang w:val="fr-FR"/>
        </w:rPr>
      </w:pPr>
      <w:r w:rsidRPr="00D02F02">
        <w:rPr>
          <w:lang w:val="fr-FR"/>
        </w:rPr>
        <w:t>Cas clinique 1 – Madame R., 84 ans</w:t>
      </w:r>
    </w:p>
    <w:p w14:paraId="3839CD44" w14:textId="1D37AA59" w:rsidR="0031643D" w:rsidRPr="009E2D74" w:rsidRDefault="0053344D">
      <w:pPr>
        <w:rPr>
          <w:sz w:val="24"/>
          <w:szCs w:val="24"/>
          <w:lang w:val="fr-FR"/>
        </w:rPr>
      </w:pPr>
      <w:r w:rsidRPr="009E2D74">
        <w:rPr>
          <w:sz w:val="24"/>
          <w:szCs w:val="24"/>
          <w:lang w:val="fr-FR"/>
        </w:rPr>
        <w:t>Contexte : Veuve, vit seule en appartement. Ancienne institutrice. Arthrose genou dro</w:t>
      </w:r>
      <w:r w:rsidRPr="009E2D74">
        <w:rPr>
          <w:sz w:val="24"/>
          <w:szCs w:val="24"/>
          <w:lang w:val="fr-FR"/>
        </w:rPr>
        <w:t>it, HTA, DMLA débutante, ostéoporose, troubles du sommeil. Motif : Fatigue depuis 6 mois, baisse mobilité, deux chutes dans l’année, peur de tomber.</w:t>
      </w:r>
      <w:r w:rsidR="0028243F" w:rsidRPr="009E2D74">
        <w:rPr>
          <w:sz w:val="24"/>
          <w:szCs w:val="24"/>
          <w:lang w:val="fr-FR"/>
        </w:rPr>
        <w:t xml:space="preserve"> Traitement antihypertenseur et antalgiques pris quotidiennement. Elle présente une prise d’antalgiques parfois non adaptée (</w:t>
      </w:r>
      <w:proofErr w:type="spellStart"/>
      <w:r w:rsidR="0028243F" w:rsidRPr="009E2D74">
        <w:rPr>
          <w:sz w:val="24"/>
          <w:szCs w:val="24"/>
          <w:lang w:val="fr-FR"/>
        </w:rPr>
        <w:t>auto-médication</w:t>
      </w:r>
      <w:proofErr w:type="spellEnd"/>
      <w:r w:rsidR="0028243F" w:rsidRPr="009E2D74">
        <w:rPr>
          <w:sz w:val="24"/>
          <w:szCs w:val="24"/>
          <w:lang w:val="fr-FR"/>
        </w:rPr>
        <w:t xml:space="preserve"> occasionnelle), ce qui peut favoriser la somnolence, la chute et la constipation.</w:t>
      </w:r>
      <w:r w:rsidRPr="009E2D74">
        <w:rPr>
          <w:sz w:val="24"/>
          <w:szCs w:val="24"/>
          <w:lang w:val="fr-FR"/>
        </w:rPr>
        <w:br/>
        <w:t>Compléments : perte de poids invo</w:t>
      </w:r>
      <w:r w:rsidRPr="009E2D74">
        <w:rPr>
          <w:sz w:val="24"/>
          <w:szCs w:val="24"/>
          <w:lang w:val="fr-FR"/>
        </w:rPr>
        <w:t>lontaire de 4 kg sur 6 mois, fatigue importante (EVA fatigue = 7/10).</w:t>
      </w:r>
      <w:r w:rsidRPr="009E2D74">
        <w:rPr>
          <w:sz w:val="24"/>
          <w:szCs w:val="24"/>
          <w:lang w:val="fr-FR"/>
        </w:rPr>
        <w:br/>
      </w:r>
      <w:r w:rsidRPr="009E2D74">
        <w:rPr>
          <w:sz w:val="24"/>
          <w:szCs w:val="24"/>
          <w:lang w:val="fr-FR"/>
        </w:rPr>
        <w:br/>
        <w:t xml:space="preserve">Madame R. vit seule dans son appartement, ses enfants habitent à distance et ne rendent visite que </w:t>
      </w:r>
      <w:r w:rsidR="009E2D74">
        <w:rPr>
          <w:sz w:val="24"/>
          <w:szCs w:val="24"/>
          <w:lang w:val="fr-FR"/>
        </w:rPr>
        <w:t>rarement</w:t>
      </w:r>
      <w:r w:rsidRPr="009E2D74">
        <w:rPr>
          <w:sz w:val="24"/>
          <w:szCs w:val="24"/>
          <w:lang w:val="fr-FR"/>
        </w:rPr>
        <w:t>. Elle bénéficie d’une aide à domicile 2 fois par semaine pour les tâches ména</w:t>
      </w:r>
      <w:r w:rsidRPr="009E2D74">
        <w:rPr>
          <w:sz w:val="24"/>
          <w:szCs w:val="24"/>
          <w:lang w:val="fr-FR"/>
        </w:rPr>
        <w:t>gères. Son réseau social est limité, ce qui accentue son sentiment d’isolement.</w:t>
      </w:r>
      <w:r w:rsidRPr="009E2D74">
        <w:rPr>
          <w:sz w:val="24"/>
          <w:szCs w:val="24"/>
          <w:lang w:val="fr-FR"/>
        </w:rPr>
        <w:br/>
      </w:r>
      <w:r w:rsidRPr="009E2D74">
        <w:rPr>
          <w:sz w:val="24"/>
          <w:szCs w:val="24"/>
          <w:lang w:val="fr-FR"/>
        </w:rPr>
        <w:br/>
        <w:t>Outils et résultats :</w:t>
      </w:r>
      <w:r w:rsidRPr="009E2D74">
        <w:rPr>
          <w:sz w:val="24"/>
          <w:szCs w:val="24"/>
          <w:lang w:val="fr-FR"/>
        </w:rPr>
        <w:br/>
        <w:t xml:space="preserve">- Fried : 4/5 </w:t>
      </w:r>
      <w:r w:rsidRPr="009E2D74">
        <w:rPr>
          <w:sz w:val="24"/>
          <w:szCs w:val="24"/>
          <w:lang w:val="fr-FR"/>
        </w:rPr>
        <w:br/>
        <w:t>- Vitesse marche : 0,75 m/s (test 4 m)</w:t>
      </w:r>
      <w:r w:rsidRPr="009E2D74">
        <w:rPr>
          <w:sz w:val="24"/>
          <w:szCs w:val="24"/>
          <w:lang w:val="fr-FR"/>
        </w:rPr>
        <w:br/>
        <w:t>- Force préhension : 16 kg</w:t>
      </w:r>
      <w:r w:rsidRPr="009E2D74">
        <w:rPr>
          <w:sz w:val="24"/>
          <w:szCs w:val="24"/>
          <w:lang w:val="fr-FR"/>
        </w:rPr>
        <w:br/>
        <w:t>- GDS-15 : 8/15</w:t>
      </w:r>
      <w:r w:rsidRPr="009E2D74">
        <w:rPr>
          <w:sz w:val="24"/>
          <w:szCs w:val="24"/>
          <w:lang w:val="fr-FR"/>
        </w:rPr>
        <w:br/>
        <w:t>- MMSE : 27/30</w:t>
      </w:r>
    </w:p>
    <w:p w14:paraId="55E45623" w14:textId="77777777" w:rsidR="00D02F02" w:rsidRDefault="00D02F02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fr-FR"/>
        </w:rPr>
      </w:pPr>
      <w:r>
        <w:rPr>
          <w:lang w:val="fr-FR"/>
        </w:rPr>
        <w:br w:type="page"/>
      </w:r>
    </w:p>
    <w:p w14:paraId="1C847921" w14:textId="415E3357" w:rsidR="0031643D" w:rsidRPr="00D02F02" w:rsidRDefault="0053344D">
      <w:pPr>
        <w:pStyle w:val="Titre2"/>
        <w:rPr>
          <w:lang w:val="fr-FR"/>
        </w:rPr>
      </w:pPr>
      <w:r w:rsidRPr="00D02F02">
        <w:rPr>
          <w:lang w:val="fr-FR"/>
        </w:rPr>
        <w:lastRenderedPageBreak/>
        <w:t>Cas clinique 2 – Monsieur T., 79 ans</w:t>
      </w:r>
    </w:p>
    <w:p w14:paraId="2127AF25" w14:textId="391A41AE" w:rsidR="0031643D" w:rsidRPr="009E2D74" w:rsidRDefault="0053344D">
      <w:pPr>
        <w:rPr>
          <w:sz w:val="24"/>
          <w:szCs w:val="24"/>
          <w:lang w:val="fr-FR"/>
        </w:rPr>
      </w:pPr>
      <w:r w:rsidRPr="009E2D74">
        <w:rPr>
          <w:sz w:val="24"/>
          <w:szCs w:val="24"/>
          <w:lang w:val="fr-FR"/>
        </w:rPr>
        <w:t>Co</w:t>
      </w:r>
      <w:r w:rsidRPr="009E2D74">
        <w:rPr>
          <w:sz w:val="24"/>
          <w:szCs w:val="24"/>
          <w:lang w:val="fr-FR"/>
        </w:rPr>
        <w:t xml:space="preserve">ntexte : Vit en couple, maison individuelle. Ancien menuisier. Diabète type 2, BPCO stade 2, arthropathie épaules, AVC mineur, troubles cognitifs légers. </w:t>
      </w:r>
      <w:r w:rsidR="0028243F" w:rsidRPr="009E2D74">
        <w:rPr>
          <w:sz w:val="24"/>
          <w:szCs w:val="24"/>
          <w:lang w:val="fr-FR"/>
        </w:rPr>
        <w:t>Traitements multiples (antidiabétiques, bronchodilatateurs, statines, antiagrégants). Risque d’interactions médicamenteuses et d’effets secondaires (hypoglycémies, vertiges) avec un antécédent d’AVC.</w:t>
      </w:r>
      <w:r w:rsidRPr="009E2D74">
        <w:rPr>
          <w:sz w:val="24"/>
          <w:szCs w:val="24"/>
          <w:lang w:val="fr-FR"/>
        </w:rPr>
        <w:br/>
        <w:t>Motif : Difficultés escaliers, désorientation, agitation vespérale.</w:t>
      </w:r>
      <w:r w:rsidRPr="009E2D74">
        <w:rPr>
          <w:sz w:val="24"/>
          <w:szCs w:val="24"/>
          <w:lang w:val="fr-FR"/>
        </w:rPr>
        <w:br/>
        <w:t>Compléments : fatigue modérée (EVA fatigue = 5/10).</w:t>
      </w:r>
      <w:r w:rsidRPr="009E2D74">
        <w:rPr>
          <w:sz w:val="24"/>
          <w:szCs w:val="24"/>
          <w:lang w:val="fr-FR"/>
        </w:rPr>
        <w:br/>
      </w:r>
      <w:r w:rsidRPr="009E2D74">
        <w:rPr>
          <w:sz w:val="24"/>
          <w:szCs w:val="24"/>
          <w:lang w:val="fr-FR"/>
        </w:rPr>
        <w:br/>
        <w:t>Vit en couple, son épouse est son aid</w:t>
      </w:r>
      <w:r w:rsidRPr="009E2D74">
        <w:rPr>
          <w:sz w:val="24"/>
          <w:szCs w:val="24"/>
          <w:lang w:val="fr-FR"/>
        </w:rPr>
        <w:t>ante principale, impliquée mais elle se plaint parfois d’un sentiment de fatigue. Le réseau amical est peu actif, Monsieur T. est souvent seul en journée. L’aide à domicile intervient pour la surveillance du diabète.</w:t>
      </w:r>
      <w:r w:rsidRPr="009E2D74">
        <w:rPr>
          <w:sz w:val="24"/>
          <w:szCs w:val="24"/>
          <w:lang w:val="fr-FR"/>
        </w:rPr>
        <w:br/>
      </w:r>
      <w:r w:rsidRPr="009E2D74">
        <w:rPr>
          <w:sz w:val="24"/>
          <w:szCs w:val="24"/>
          <w:lang w:val="fr-FR"/>
        </w:rPr>
        <w:br/>
        <w:t>Outils et résultats :</w:t>
      </w:r>
      <w:r w:rsidRPr="009E2D74">
        <w:rPr>
          <w:sz w:val="24"/>
          <w:szCs w:val="24"/>
          <w:lang w:val="fr-FR"/>
        </w:rPr>
        <w:br/>
        <w:t xml:space="preserve">- Fried : 3/5 </w:t>
      </w:r>
      <w:r w:rsidRPr="009E2D74">
        <w:rPr>
          <w:sz w:val="24"/>
          <w:szCs w:val="24"/>
          <w:lang w:val="fr-FR"/>
        </w:rPr>
        <w:br/>
        <w:t>-</w:t>
      </w:r>
      <w:r w:rsidRPr="009E2D74">
        <w:rPr>
          <w:sz w:val="24"/>
          <w:szCs w:val="24"/>
          <w:lang w:val="fr-FR"/>
        </w:rPr>
        <w:t xml:space="preserve"> Vitesse marche : 0,62 m/s (test 4 m)</w:t>
      </w:r>
      <w:r w:rsidRPr="009E2D74">
        <w:rPr>
          <w:sz w:val="24"/>
          <w:szCs w:val="24"/>
          <w:lang w:val="fr-FR"/>
        </w:rPr>
        <w:br/>
        <w:t>- Force préhension : 18 kg</w:t>
      </w:r>
      <w:r w:rsidRPr="009E2D74">
        <w:rPr>
          <w:sz w:val="24"/>
          <w:szCs w:val="24"/>
          <w:lang w:val="fr-FR"/>
        </w:rPr>
        <w:br/>
        <w:t>- MMSE : 23/30</w:t>
      </w:r>
    </w:p>
    <w:p w14:paraId="51463203" w14:textId="77777777" w:rsidR="00D02F02" w:rsidRDefault="00D02F02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fr-FR"/>
        </w:rPr>
      </w:pPr>
      <w:r>
        <w:rPr>
          <w:lang w:val="fr-FR"/>
        </w:rPr>
        <w:br w:type="page"/>
      </w:r>
    </w:p>
    <w:p w14:paraId="1E5B9C41" w14:textId="210C8B26" w:rsidR="00D56B69" w:rsidRPr="00D56B69" w:rsidRDefault="00753C14" w:rsidP="00D56B69">
      <w:pPr>
        <w:pStyle w:val="Titre2"/>
        <w:jc w:val="both"/>
        <w:rPr>
          <w:b w:val="0"/>
          <w:bCs w:val="0"/>
          <w:i/>
          <w:iCs/>
          <w:color w:val="auto"/>
          <w:sz w:val="28"/>
          <w:szCs w:val="28"/>
          <w:lang w:val="fr-FR"/>
        </w:rPr>
      </w:pPr>
      <w:r>
        <w:rPr>
          <w:b w:val="0"/>
          <w:bCs w:val="0"/>
          <w:i/>
          <w:iCs/>
          <w:color w:val="auto"/>
          <w:sz w:val="28"/>
          <w:szCs w:val="28"/>
          <w:lang w:val="fr-FR"/>
        </w:rPr>
        <w:lastRenderedPageBreak/>
        <w:t>Pour chaque cas clinique, r</w:t>
      </w:r>
      <w:r w:rsidR="00D56B69" w:rsidRPr="00D56B69">
        <w:rPr>
          <w:b w:val="0"/>
          <w:bCs w:val="0"/>
          <w:i/>
          <w:iCs/>
          <w:color w:val="auto"/>
          <w:sz w:val="28"/>
          <w:szCs w:val="28"/>
          <w:lang w:val="fr-FR"/>
        </w:rPr>
        <w:t>emplissez le tableau ci-dessous en utilisant les informations recueillies.</w:t>
      </w:r>
    </w:p>
    <w:p w14:paraId="243EDFB5" w14:textId="77777777" w:rsidR="00D56B69" w:rsidRDefault="00D56B69">
      <w:pPr>
        <w:pStyle w:val="Titre2"/>
        <w:rPr>
          <w:lang w:val="fr-FR"/>
        </w:rPr>
      </w:pPr>
    </w:p>
    <w:p w14:paraId="0A76F536" w14:textId="6FE038B9" w:rsidR="0031643D" w:rsidRDefault="00D56B69">
      <w:pPr>
        <w:pStyle w:val="Titre2"/>
        <w:rPr>
          <w:lang w:val="fr-FR"/>
        </w:rPr>
      </w:pPr>
      <w:r>
        <w:rPr>
          <w:lang w:val="fr-FR"/>
        </w:rPr>
        <w:t>Tableau</w:t>
      </w:r>
      <w:r w:rsidRPr="00D02F02">
        <w:rPr>
          <w:lang w:val="fr-FR"/>
        </w:rPr>
        <w:t xml:space="preserve"> d’analyse kinésithérapique </w:t>
      </w:r>
    </w:p>
    <w:p w14:paraId="2FCE3CCF" w14:textId="77777777" w:rsidR="00D56B69" w:rsidRPr="00D56B69" w:rsidRDefault="00D56B69" w:rsidP="00D56B69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58"/>
        <w:gridCol w:w="2155"/>
        <w:gridCol w:w="2157"/>
        <w:gridCol w:w="2160"/>
      </w:tblGrid>
      <w:tr w:rsidR="0031643D" w14:paraId="5C63F8A5" w14:textId="77777777" w:rsidTr="00D56B69">
        <w:tc>
          <w:tcPr>
            <w:tcW w:w="2160" w:type="dxa"/>
          </w:tcPr>
          <w:p w14:paraId="10A9D922" w14:textId="77777777" w:rsidR="0031643D" w:rsidRDefault="0053344D">
            <w:r>
              <w:t>Concept</w:t>
            </w:r>
          </w:p>
        </w:tc>
        <w:tc>
          <w:tcPr>
            <w:tcW w:w="2160" w:type="dxa"/>
          </w:tcPr>
          <w:p w14:paraId="5EFBAFE3" w14:textId="77777777" w:rsidR="0031643D" w:rsidRDefault="0053344D">
            <w:proofErr w:type="spellStart"/>
            <w:r>
              <w:t>Repérage</w:t>
            </w:r>
            <w:proofErr w:type="spellEnd"/>
            <w:r>
              <w:t xml:space="preserve"> / </w:t>
            </w:r>
            <w:proofErr w:type="spellStart"/>
            <w:r>
              <w:t>Outils</w:t>
            </w:r>
            <w:proofErr w:type="spellEnd"/>
            <w:r>
              <w:t xml:space="preserve"> </w:t>
            </w:r>
            <w:proofErr w:type="spellStart"/>
            <w:r>
              <w:t>utilisés</w:t>
            </w:r>
            <w:proofErr w:type="spellEnd"/>
          </w:p>
        </w:tc>
        <w:tc>
          <w:tcPr>
            <w:tcW w:w="2160" w:type="dxa"/>
          </w:tcPr>
          <w:p w14:paraId="78977CB1" w14:textId="77777777" w:rsidR="0031643D" w:rsidRDefault="0053344D">
            <w:r>
              <w:t xml:space="preserve">Intervention </w:t>
            </w:r>
            <w:proofErr w:type="spellStart"/>
            <w:r>
              <w:t>kiné</w:t>
            </w:r>
            <w:proofErr w:type="spellEnd"/>
            <w:r>
              <w:t xml:space="preserve"> </w:t>
            </w:r>
            <w:proofErr w:type="spellStart"/>
            <w:r>
              <w:t>proposée</w:t>
            </w:r>
            <w:proofErr w:type="spellEnd"/>
          </w:p>
        </w:tc>
        <w:tc>
          <w:tcPr>
            <w:tcW w:w="2160" w:type="dxa"/>
          </w:tcPr>
          <w:p w14:paraId="66977B59" w14:textId="77777777" w:rsidR="0031643D" w:rsidRDefault="0053344D">
            <w:r>
              <w:t xml:space="preserve">Coordination </w:t>
            </w:r>
            <w:proofErr w:type="spellStart"/>
            <w:r>
              <w:t>interprofessionnelle</w:t>
            </w:r>
            <w:proofErr w:type="spellEnd"/>
          </w:p>
        </w:tc>
      </w:tr>
      <w:tr w:rsidR="0031643D" w14:paraId="44E41519" w14:textId="77777777" w:rsidTr="00D56B69">
        <w:tc>
          <w:tcPr>
            <w:tcW w:w="2160" w:type="dxa"/>
          </w:tcPr>
          <w:p w14:paraId="0246C0B1" w14:textId="77777777" w:rsidR="0031643D" w:rsidRDefault="0053344D">
            <w:proofErr w:type="spellStart"/>
            <w:r>
              <w:t>Fragilité</w:t>
            </w:r>
            <w:proofErr w:type="spellEnd"/>
          </w:p>
        </w:tc>
        <w:tc>
          <w:tcPr>
            <w:tcW w:w="2160" w:type="dxa"/>
          </w:tcPr>
          <w:p w14:paraId="6F5AE53E" w14:textId="77777777" w:rsidR="0031643D" w:rsidRDefault="0031643D"/>
        </w:tc>
        <w:tc>
          <w:tcPr>
            <w:tcW w:w="2160" w:type="dxa"/>
          </w:tcPr>
          <w:p w14:paraId="0D197C68" w14:textId="77777777" w:rsidR="0031643D" w:rsidRDefault="0031643D"/>
        </w:tc>
        <w:tc>
          <w:tcPr>
            <w:tcW w:w="2160" w:type="dxa"/>
          </w:tcPr>
          <w:p w14:paraId="25C65628" w14:textId="77777777" w:rsidR="0031643D" w:rsidRDefault="0031643D"/>
        </w:tc>
      </w:tr>
      <w:tr w:rsidR="0031643D" w14:paraId="29B9FD8C" w14:textId="77777777" w:rsidTr="00D56B69">
        <w:tc>
          <w:tcPr>
            <w:tcW w:w="2160" w:type="dxa"/>
          </w:tcPr>
          <w:p w14:paraId="7D0A2E61" w14:textId="77777777" w:rsidR="0031643D" w:rsidRDefault="0053344D">
            <w:r>
              <w:t xml:space="preserve">Syndromes </w:t>
            </w:r>
            <w:proofErr w:type="spellStart"/>
            <w:r>
              <w:t>gériatriques</w:t>
            </w:r>
            <w:proofErr w:type="spellEnd"/>
          </w:p>
        </w:tc>
        <w:tc>
          <w:tcPr>
            <w:tcW w:w="2160" w:type="dxa"/>
          </w:tcPr>
          <w:p w14:paraId="0AA23853" w14:textId="77777777" w:rsidR="0031643D" w:rsidRDefault="0031643D"/>
        </w:tc>
        <w:tc>
          <w:tcPr>
            <w:tcW w:w="2160" w:type="dxa"/>
          </w:tcPr>
          <w:p w14:paraId="0C579003" w14:textId="77777777" w:rsidR="0031643D" w:rsidRDefault="0031643D"/>
        </w:tc>
        <w:tc>
          <w:tcPr>
            <w:tcW w:w="2160" w:type="dxa"/>
          </w:tcPr>
          <w:p w14:paraId="163C7DFD" w14:textId="77777777" w:rsidR="0031643D" w:rsidRDefault="0031643D"/>
        </w:tc>
      </w:tr>
      <w:tr w:rsidR="0031643D" w14:paraId="366BBBB3" w14:textId="77777777" w:rsidTr="00D56B69">
        <w:tc>
          <w:tcPr>
            <w:tcW w:w="2160" w:type="dxa"/>
          </w:tcPr>
          <w:p w14:paraId="5F40A4E5" w14:textId="77777777" w:rsidR="0031643D" w:rsidRDefault="0053344D">
            <w:proofErr w:type="spellStart"/>
            <w:r>
              <w:t>Évaluation</w:t>
            </w:r>
            <w:proofErr w:type="spellEnd"/>
            <w:r>
              <w:t xml:space="preserve"> </w:t>
            </w:r>
            <w:proofErr w:type="spellStart"/>
            <w:r>
              <w:t>gérontologique</w:t>
            </w:r>
            <w:proofErr w:type="spellEnd"/>
            <w:r>
              <w:t xml:space="preserve"> </w:t>
            </w:r>
            <w:proofErr w:type="spellStart"/>
            <w:r>
              <w:t>standardisée</w:t>
            </w:r>
            <w:proofErr w:type="spellEnd"/>
            <w:r>
              <w:t xml:space="preserve"> (EGS)</w:t>
            </w:r>
          </w:p>
        </w:tc>
        <w:tc>
          <w:tcPr>
            <w:tcW w:w="2160" w:type="dxa"/>
          </w:tcPr>
          <w:p w14:paraId="4E02D881" w14:textId="77777777" w:rsidR="0031643D" w:rsidRDefault="0031643D"/>
        </w:tc>
        <w:tc>
          <w:tcPr>
            <w:tcW w:w="2160" w:type="dxa"/>
          </w:tcPr>
          <w:p w14:paraId="5E38BB9B" w14:textId="77777777" w:rsidR="0031643D" w:rsidRDefault="0031643D"/>
        </w:tc>
        <w:tc>
          <w:tcPr>
            <w:tcW w:w="2160" w:type="dxa"/>
          </w:tcPr>
          <w:p w14:paraId="418214FB" w14:textId="77777777" w:rsidR="0031643D" w:rsidRDefault="0031643D"/>
        </w:tc>
      </w:tr>
      <w:tr w:rsidR="0031643D" w:rsidRPr="0053344D" w14:paraId="0C1CDBB9" w14:textId="77777777" w:rsidTr="00D56B69">
        <w:tc>
          <w:tcPr>
            <w:tcW w:w="2160" w:type="dxa"/>
          </w:tcPr>
          <w:p w14:paraId="5E0C85B0" w14:textId="77777777" w:rsidR="0031643D" w:rsidRPr="00D02F02" w:rsidRDefault="0053344D">
            <w:pPr>
              <w:rPr>
                <w:lang w:val="fr-FR"/>
              </w:rPr>
            </w:pPr>
            <w:r w:rsidRPr="00D02F02">
              <w:rPr>
                <w:lang w:val="fr-FR"/>
              </w:rPr>
              <w:t>Représentations sociales de la vieillesse</w:t>
            </w:r>
          </w:p>
        </w:tc>
        <w:tc>
          <w:tcPr>
            <w:tcW w:w="2160" w:type="dxa"/>
          </w:tcPr>
          <w:p w14:paraId="21718B9A" w14:textId="77777777" w:rsidR="0031643D" w:rsidRPr="00D02F02" w:rsidRDefault="0031643D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1C05648B" w14:textId="77777777" w:rsidR="0031643D" w:rsidRPr="00D02F02" w:rsidRDefault="0031643D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15EEFAEC" w14:textId="77777777" w:rsidR="0031643D" w:rsidRPr="00D02F02" w:rsidRDefault="0031643D">
            <w:pPr>
              <w:rPr>
                <w:lang w:val="fr-FR"/>
              </w:rPr>
            </w:pPr>
          </w:p>
        </w:tc>
      </w:tr>
      <w:tr w:rsidR="0031643D" w14:paraId="27B7D35B" w14:textId="77777777" w:rsidTr="00D56B69">
        <w:tc>
          <w:tcPr>
            <w:tcW w:w="2160" w:type="dxa"/>
          </w:tcPr>
          <w:p w14:paraId="4A25ED39" w14:textId="77777777" w:rsidR="0031643D" w:rsidRDefault="0053344D">
            <w:proofErr w:type="spellStart"/>
            <w:r>
              <w:t>Psychologie</w:t>
            </w:r>
            <w:proofErr w:type="spellEnd"/>
            <w:r>
              <w:t xml:space="preserve"> du </w:t>
            </w:r>
            <w:proofErr w:type="spellStart"/>
            <w:r>
              <w:t>sujet</w:t>
            </w:r>
            <w:proofErr w:type="spellEnd"/>
            <w:r>
              <w:t xml:space="preserve"> </w:t>
            </w:r>
            <w:proofErr w:type="spellStart"/>
            <w:r>
              <w:t>âgé</w:t>
            </w:r>
            <w:proofErr w:type="spellEnd"/>
          </w:p>
        </w:tc>
        <w:tc>
          <w:tcPr>
            <w:tcW w:w="2160" w:type="dxa"/>
          </w:tcPr>
          <w:p w14:paraId="2C0A7335" w14:textId="77777777" w:rsidR="0031643D" w:rsidRDefault="0031643D"/>
        </w:tc>
        <w:tc>
          <w:tcPr>
            <w:tcW w:w="2160" w:type="dxa"/>
          </w:tcPr>
          <w:p w14:paraId="27F28761" w14:textId="77777777" w:rsidR="0031643D" w:rsidRDefault="0031643D"/>
        </w:tc>
        <w:tc>
          <w:tcPr>
            <w:tcW w:w="2160" w:type="dxa"/>
          </w:tcPr>
          <w:p w14:paraId="1E4066E3" w14:textId="77777777" w:rsidR="0031643D" w:rsidRDefault="0031643D"/>
        </w:tc>
      </w:tr>
      <w:tr w:rsidR="0031643D" w:rsidRPr="0053344D" w14:paraId="7229F985" w14:textId="77777777" w:rsidTr="00D56B69">
        <w:tc>
          <w:tcPr>
            <w:tcW w:w="2160" w:type="dxa"/>
          </w:tcPr>
          <w:p w14:paraId="52340913" w14:textId="77777777" w:rsidR="0031643D" w:rsidRPr="00D02F02" w:rsidRDefault="0053344D">
            <w:pPr>
              <w:rPr>
                <w:lang w:val="fr-FR"/>
              </w:rPr>
            </w:pPr>
            <w:r w:rsidRPr="00D02F02">
              <w:rPr>
                <w:lang w:val="fr-FR"/>
              </w:rPr>
              <w:t xml:space="preserve">Troubles du </w:t>
            </w:r>
            <w:r w:rsidRPr="00D02F02">
              <w:rPr>
                <w:lang w:val="fr-FR"/>
              </w:rPr>
              <w:t>comportement du sujet âgé</w:t>
            </w:r>
          </w:p>
        </w:tc>
        <w:tc>
          <w:tcPr>
            <w:tcW w:w="2160" w:type="dxa"/>
          </w:tcPr>
          <w:p w14:paraId="314CEE87" w14:textId="77777777" w:rsidR="0031643D" w:rsidRPr="00D02F02" w:rsidRDefault="0031643D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6F67759A" w14:textId="77777777" w:rsidR="0031643D" w:rsidRPr="00D02F02" w:rsidRDefault="0031643D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6F177680" w14:textId="77777777" w:rsidR="0031643D" w:rsidRPr="00D02F02" w:rsidRDefault="0031643D">
            <w:pPr>
              <w:rPr>
                <w:lang w:val="fr-FR"/>
              </w:rPr>
            </w:pPr>
          </w:p>
        </w:tc>
      </w:tr>
    </w:tbl>
    <w:p w14:paraId="1365F1BE" w14:textId="77777777" w:rsidR="00D02F02" w:rsidRDefault="00D02F02">
      <w:pPr>
        <w:pStyle w:val="Titre2"/>
        <w:rPr>
          <w:lang w:val="fr-FR"/>
        </w:rPr>
      </w:pPr>
    </w:p>
    <w:p w14:paraId="639129CA" w14:textId="6AED6499" w:rsidR="00D02F02" w:rsidRDefault="00D02F02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fr-FR"/>
        </w:rPr>
      </w:pPr>
    </w:p>
    <w:sectPr w:rsidR="00D02F0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243F"/>
    <w:rsid w:val="0029639D"/>
    <w:rsid w:val="0031643D"/>
    <w:rsid w:val="00326F90"/>
    <w:rsid w:val="00384DBA"/>
    <w:rsid w:val="003A452C"/>
    <w:rsid w:val="0053344D"/>
    <w:rsid w:val="005900FE"/>
    <w:rsid w:val="006126FD"/>
    <w:rsid w:val="00645A66"/>
    <w:rsid w:val="00753C14"/>
    <w:rsid w:val="009E2D74"/>
    <w:rsid w:val="009F1163"/>
    <w:rsid w:val="00A35DED"/>
    <w:rsid w:val="00AA1D8D"/>
    <w:rsid w:val="00B47730"/>
    <w:rsid w:val="00C90983"/>
    <w:rsid w:val="00CB0664"/>
    <w:rsid w:val="00D02F02"/>
    <w:rsid w:val="00D56B69"/>
    <w:rsid w:val="00ED4814"/>
    <w:rsid w:val="00F826A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C5BBE4"/>
  <w14:defaultImageDpi w14:val="300"/>
  <w15:docId w15:val="{B707D5C3-CF97-4617-A420-A9FB495F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384DB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84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5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pp.wooclap.com/CM2GER25/questionnaires/689b0fbb2900521c4c58b76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405</Words>
  <Characters>2230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COMEMALE EDITH</cp:lastModifiedBy>
  <cp:revision>2</cp:revision>
  <dcterms:created xsi:type="dcterms:W3CDTF">2025-09-09T09:24:00Z</dcterms:created>
  <dcterms:modified xsi:type="dcterms:W3CDTF">2025-09-09T09:24:00Z</dcterms:modified>
  <cp:category/>
</cp:coreProperties>
</file>