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CEC" w:rsidRPr="009F1B18" w:rsidRDefault="00B864FC" w:rsidP="006F5CEC">
      <w:pPr>
        <w:shd w:val="clear" w:color="auto" w:fill="FFFFFF"/>
        <w:spacing w:after="0" w:line="240" w:lineRule="auto"/>
        <w:textAlignment w:val="baseline"/>
        <w:outlineLvl w:val="0"/>
        <w:rPr>
          <w:rFonts w:eastAsia="Times New Roman" w:cstheme="minorHAnsi"/>
          <w:b/>
          <w:bCs/>
          <w:smallCaps/>
          <w:color w:val="121212"/>
          <w:kern w:val="36"/>
          <w:sz w:val="32"/>
          <w:szCs w:val="32"/>
          <w:lang w:val="en-GB"/>
        </w:rPr>
      </w:pPr>
      <w:r>
        <w:rPr>
          <w:rFonts w:eastAsia="Times New Roman" w:cstheme="minorHAnsi"/>
          <w:noProof/>
          <w:sz w:val="24"/>
          <w:szCs w:val="24"/>
          <w:lang w:val="en-GB"/>
        </w:rPr>
        <w:drawing>
          <wp:anchor distT="0" distB="0" distL="114300" distR="114300" simplePos="0" relativeHeight="251658240" behindDoc="0" locked="0" layoutInCell="1" allowOverlap="1">
            <wp:simplePos x="0" y="0"/>
            <wp:positionH relativeFrom="margin">
              <wp:posOffset>5300980</wp:posOffset>
            </wp:positionH>
            <wp:positionV relativeFrom="margin">
              <wp:posOffset>-440055</wp:posOffset>
            </wp:positionV>
            <wp:extent cx="1160780" cy="408305"/>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07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CEC" w:rsidRPr="009F1B18">
        <w:rPr>
          <w:rFonts w:eastAsia="Times New Roman" w:cstheme="minorHAnsi"/>
          <w:b/>
          <w:bCs/>
          <w:smallCaps/>
          <w:color w:val="121212"/>
          <w:kern w:val="36"/>
          <w:sz w:val="32"/>
          <w:szCs w:val="32"/>
          <w:lang w:val="en-GB"/>
        </w:rPr>
        <w:t>how ‘earthquake resilient’ Japan fails its ageing rural communities</w:t>
      </w:r>
    </w:p>
    <w:p w:rsidR="009F1B18" w:rsidRDefault="006F5CEC" w:rsidP="009F1B18">
      <w:pPr>
        <w:shd w:val="clear" w:color="auto" w:fill="FFFFFF"/>
        <w:spacing w:line="240" w:lineRule="auto"/>
        <w:textAlignment w:val="baseline"/>
        <w:rPr>
          <w:rFonts w:eastAsia="Times New Roman" w:cstheme="minorHAnsi"/>
          <w:sz w:val="24"/>
          <w:szCs w:val="24"/>
          <w:lang w:val="en-GB"/>
        </w:rPr>
        <w:sectPr w:rsidR="009F1B18" w:rsidSect="009F1B18">
          <w:headerReference w:type="default" r:id="rId8"/>
          <w:pgSz w:w="11906" w:h="16838"/>
          <w:pgMar w:top="993" w:right="1417" w:bottom="1417" w:left="1417" w:header="426" w:footer="708" w:gutter="0"/>
          <w:cols w:space="708"/>
          <w:docGrid w:linePitch="360"/>
        </w:sectPr>
      </w:pPr>
      <w:r w:rsidRPr="009F1B18">
        <w:rPr>
          <w:rFonts w:eastAsia="Times New Roman" w:cstheme="minorHAnsi"/>
          <w:color w:val="121212"/>
          <w:sz w:val="20"/>
          <w:szCs w:val="20"/>
          <w:lang w:val="en-GB"/>
        </w:rPr>
        <w:t>Older people living in isolated places and outdated homes face enormous danger when disaster strikes</w:t>
      </w:r>
      <w:r w:rsidR="009F1B18">
        <w:rPr>
          <w:rFonts w:eastAsia="Times New Roman" w:cstheme="minorHAnsi"/>
          <w:color w:val="121212"/>
          <w:sz w:val="20"/>
          <w:szCs w:val="20"/>
          <w:lang w:val="en-GB"/>
        </w:rPr>
        <w:t xml:space="preserve">. Adapted from Justin McCurry for </w:t>
      </w:r>
      <w:r w:rsidR="009F1B18" w:rsidRPr="002A4A01">
        <w:rPr>
          <w:rFonts w:eastAsia="Times New Roman" w:cstheme="minorHAnsi"/>
          <w:i/>
          <w:color w:val="121212"/>
          <w:sz w:val="20"/>
          <w:szCs w:val="20"/>
          <w:lang w:val="en-GB"/>
        </w:rPr>
        <w:t>The Guardian</w:t>
      </w:r>
      <w:r w:rsidR="009F1B18">
        <w:rPr>
          <w:rFonts w:eastAsia="Times New Roman" w:cstheme="minorHAnsi"/>
          <w:color w:val="121212"/>
          <w:sz w:val="20"/>
          <w:szCs w:val="20"/>
          <w:lang w:val="en-GB"/>
        </w:rPr>
        <w:t>, Jan. 5</w:t>
      </w:r>
      <w:r w:rsidR="009F1B18" w:rsidRPr="009F1B18">
        <w:rPr>
          <w:rFonts w:eastAsia="Times New Roman" w:cstheme="minorHAnsi"/>
          <w:color w:val="121212"/>
          <w:sz w:val="20"/>
          <w:szCs w:val="20"/>
          <w:vertAlign w:val="superscript"/>
          <w:lang w:val="en-GB"/>
        </w:rPr>
        <w:t>th</w:t>
      </w:r>
      <w:r w:rsidR="009F1B18">
        <w:rPr>
          <w:rFonts w:eastAsia="Times New Roman" w:cstheme="minorHAnsi"/>
          <w:color w:val="121212"/>
          <w:sz w:val="20"/>
          <w:szCs w:val="20"/>
          <w:lang w:val="en-GB"/>
        </w:rPr>
        <w:t>, 2024.</w:t>
      </w:r>
      <w:r w:rsidR="009F1B18" w:rsidRPr="009F1B18">
        <w:rPr>
          <w:rFonts w:eastAsia="Times New Roman" w:cstheme="minorHAnsi"/>
          <w:sz w:val="24"/>
          <w:szCs w:val="24"/>
          <w:lang w:val="en-GB"/>
        </w:rPr>
        <w:t xml:space="preserve"> </w:t>
      </w:r>
    </w:p>
    <w:p w:rsidR="006F5CEC" w:rsidRPr="009F1B18" w:rsidRDefault="004227FE" w:rsidP="009F1B18">
      <w:pPr>
        <w:shd w:val="clear" w:color="auto" w:fill="FFFFFF"/>
        <w:spacing w:afterLines="80" w:after="192" w:line="360" w:lineRule="auto"/>
        <w:jc w:val="both"/>
        <w:textAlignment w:val="baseline"/>
        <w:rPr>
          <w:rFonts w:eastAsia="Times New Roman" w:cstheme="minorHAnsi"/>
          <w:sz w:val="24"/>
          <w:szCs w:val="24"/>
          <w:lang w:val="en-GB"/>
        </w:rPr>
      </w:pPr>
      <w:r>
        <w:rPr>
          <w:rFonts w:eastAsia="Times New Roman" w:cstheme="minorHAnsi"/>
          <w:sz w:val="24"/>
          <w:szCs w:val="24"/>
          <w:lang w:val="en-GB"/>
        </w:rPr>
        <w:t>O</w:t>
      </w:r>
      <w:r w:rsidR="006F5CEC" w:rsidRPr="009F1B18">
        <w:rPr>
          <w:rFonts w:eastAsia="Times New Roman" w:cstheme="minorHAnsi"/>
          <w:sz w:val="24"/>
          <w:szCs w:val="24"/>
          <w:lang w:val="en-GB"/>
        </w:rPr>
        <w:t>n New Year’s Day</w:t>
      </w:r>
      <w:r>
        <w:rPr>
          <w:rFonts w:eastAsia="Times New Roman" w:cstheme="minorHAnsi"/>
          <w:sz w:val="24"/>
          <w:szCs w:val="24"/>
          <w:lang w:val="en-GB"/>
        </w:rPr>
        <w:t>, v</w:t>
      </w:r>
      <w:r w:rsidR="006F5CEC" w:rsidRPr="009F1B18">
        <w:rPr>
          <w:rFonts w:eastAsia="Times New Roman" w:cstheme="minorHAnsi"/>
          <w:sz w:val="24"/>
          <w:szCs w:val="24"/>
          <w:lang w:val="en-GB"/>
        </w:rPr>
        <w:t xml:space="preserve">ariety shows </w:t>
      </w:r>
      <w:r w:rsidR="006F5CEC" w:rsidRPr="00AC70E6">
        <w:rPr>
          <w:rFonts w:eastAsia="Times New Roman" w:cstheme="minorHAnsi"/>
          <w:b/>
          <w:sz w:val="24"/>
          <w:szCs w:val="24"/>
          <w:lang w:val="en-GB"/>
        </w:rPr>
        <w:t>usher</w:t>
      </w:r>
      <w:r w:rsidR="009F1B18" w:rsidRPr="00AC70E6">
        <w:rPr>
          <w:rFonts w:eastAsia="Times New Roman" w:cstheme="minorHAnsi"/>
          <w:b/>
          <w:sz w:val="24"/>
          <w:szCs w:val="24"/>
          <w:lang w:val="en-GB"/>
        </w:rPr>
        <w:t>ing</w:t>
      </w:r>
      <w:r w:rsidR="006F5CEC" w:rsidRPr="009F1B18">
        <w:rPr>
          <w:rFonts w:eastAsia="Times New Roman" w:cstheme="minorHAnsi"/>
          <w:sz w:val="24"/>
          <w:szCs w:val="24"/>
          <w:lang w:val="en-GB"/>
        </w:rPr>
        <w:t xml:space="preserve"> </w:t>
      </w:r>
      <w:r w:rsidR="006F5CEC" w:rsidRPr="00646B1B">
        <w:rPr>
          <w:rFonts w:eastAsia="Times New Roman" w:cstheme="minorHAnsi"/>
          <w:b/>
          <w:sz w:val="24"/>
          <w:szCs w:val="24"/>
          <w:lang w:val="en-GB"/>
        </w:rPr>
        <w:t>in</w:t>
      </w:r>
      <w:r w:rsidR="006F5CEC" w:rsidRPr="009F1B18">
        <w:rPr>
          <w:rFonts w:eastAsia="Times New Roman" w:cstheme="minorHAnsi"/>
          <w:sz w:val="24"/>
          <w:szCs w:val="24"/>
          <w:lang w:val="en-GB"/>
        </w:rPr>
        <w:t xml:space="preserve"> the Year of the Dragon </w:t>
      </w:r>
      <w:r>
        <w:rPr>
          <w:rFonts w:eastAsia="Times New Roman" w:cstheme="minorHAnsi"/>
          <w:sz w:val="24"/>
          <w:szCs w:val="24"/>
          <w:lang w:val="en-GB"/>
        </w:rPr>
        <w:t>suddenly</w:t>
      </w:r>
      <w:r w:rsidR="006F5CEC" w:rsidRPr="009F1B18">
        <w:rPr>
          <w:rFonts w:eastAsia="Times New Roman" w:cstheme="minorHAnsi"/>
          <w:sz w:val="24"/>
          <w:szCs w:val="24"/>
          <w:lang w:val="en-GB"/>
        </w:rPr>
        <w:t xml:space="preserve"> switched to TV announcers implor</w:t>
      </w:r>
      <w:r w:rsidR="009F1B18">
        <w:rPr>
          <w:rFonts w:eastAsia="Times New Roman" w:cstheme="minorHAnsi"/>
          <w:sz w:val="24"/>
          <w:szCs w:val="24"/>
          <w:lang w:val="en-GB"/>
        </w:rPr>
        <w:t>ing</w:t>
      </w:r>
      <w:r w:rsidR="006F5CEC" w:rsidRPr="009F1B18">
        <w:rPr>
          <w:rFonts w:eastAsia="Times New Roman" w:cstheme="minorHAnsi"/>
          <w:sz w:val="24"/>
          <w:szCs w:val="24"/>
          <w:lang w:val="en-GB"/>
        </w:rPr>
        <w:t xml:space="preserve"> people to head for </w:t>
      </w:r>
      <w:r w:rsidR="006F5CEC" w:rsidRPr="00AC70E6">
        <w:rPr>
          <w:rFonts w:eastAsia="Times New Roman" w:cstheme="minorHAnsi"/>
          <w:b/>
          <w:sz w:val="24"/>
          <w:szCs w:val="24"/>
          <w:lang w:val="en-GB"/>
        </w:rPr>
        <w:t>higher ground</w:t>
      </w:r>
      <w:r w:rsidR="006F5CEC" w:rsidRPr="009F1B18">
        <w:rPr>
          <w:rFonts w:eastAsia="Times New Roman" w:cstheme="minorHAnsi"/>
          <w:sz w:val="24"/>
          <w:szCs w:val="24"/>
          <w:lang w:val="en-GB"/>
        </w:rPr>
        <w:t xml:space="preserve"> as far away from the coast as possible. For the first time in almost 13 years,</w:t>
      </w:r>
      <w:r w:rsidR="009F1B18">
        <w:rPr>
          <w:rFonts w:eastAsia="Times New Roman" w:cstheme="minorHAnsi"/>
          <w:sz w:val="24"/>
          <w:szCs w:val="24"/>
          <w:lang w:val="en-GB"/>
        </w:rPr>
        <w:t xml:space="preserve"> </w:t>
      </w:r>
      <w:hyperlink r:id="rId9" w:history="1">
        <w:r w:rsidR="006F5CEC" w:rsidRPr="009F1B18">
          <w:rPr>
            <w:rFonts w:eastAsia="Times New Roman" w:cstheme="minorHAnsi"/>
            <w:sz w:val="24"/>
            <w:szCs w:val="24"/>
            <w:bdr w:val="none" w:sz="0" w:space="0" w:color="auto" w:frame="1"/>
            <w:lang w:val="en-GB"/>
          </w:rPr>
          <w:t>Japan</w:t>
        </w:r>
      </w:hyperlink>
      <w:r w:rsidR="009F1B18">
        <w:rPr>
          <w:rFonts w:eastAsia="Times New Roman" w:cstheme="minorHAnsi"/>
          <w:sz w:val="24"/>
          <w:szCs w:val="24"/>
          <w:lang w:val="en-GB"/>
        </w:rPr>
        <w:t xml:space="preserve"> </w:t>
      </w:r>
      <w:r w:rsidR="006F5CEC" w:rsidRPr="009F1B18">
        <w:rPr>
          <w:rFonts w:eastAsia="Times New Roman" w:cstheme="minorHAnsi"/>
          <w:sz w:val="24"/>
          <w:szCs w:val="24"/>
          <w:lang w:val="en-GB"/>
        </w:rPr>
        <w:t xml:space="preserve">was </w:t>
      </w:r>
      <w:r w:rsidR="006F5CEC" w:rsidRPr="00AC70E6">
        <w:rPr>
          <w:rFonts w:eastAsia="Times New Roman" w:cstheme="minorHAnsi"/>
          <w:b/>
          <w:sz w:val="24"/>
          <w:szCs w:val="24"/>
          <w:lang w:val="en-GB"/>
        </w:rPr>
        <w:t>bracing for</w:t>
      </w:r>
      <w:r w:rsidR="006F5CEC" w:rsidRPr="009F1B18">
        <w:rPr>
          <w:rFonts w:eastAsia="Times New Roman" w:cstheme="minorHAnsi"/>
          <w:sz w:val="24"/>
          <w:szCs w:val="24"/>
          <w:lang w:val="en-GB"/>
        </w:rPr>
        <w:t xml:space="preserve"> the arrival of a potentially</w:t>
      </w:r>
      <w:r w:rsidR="009F1B18">
        <w:rPr>
          <w:rFonts w:eastAsia="Times New Roman" w:cstheme="minorHAnsi"/>
          <w:sz w:val="24"/>
          <w:szCs w:val="24"/>
          <w:lang w:val="en-GB"/>
        </w:rPr>
        <w:t xml:space="preserve"> </w:t>
      </w:r>
      <w:hyperlink r:id="rId10" w:history="1">
        <w:r w:rsidR="006F5CEC" w:rsidRPr="009F1B18">
          <w:rPr>
            <w:rFonts w:eastAsia="Times New Roman" w:cstheme="minorHAnsi"/>
            <w:sz w:val="24"/>
            <w:szCs w:val="24"/>
            <w:bdr w:val="none" w:sz="0" w:space="0" w:color="auto" w:frame="1"/>
            <w:lang w:val="en-GB"/>
          </w:rPr>
          <w:t xml:space="preserve">deadly </w:t>
        </w:r>
        <w:r w:rsidR="006F5CEC" w:rsidRPr="00AC70E6">
          <w:rPr>
            <w:rFonts w:eastAsia="Times New Roman" w:cstheme="minorHAnsi"/>
            <w:b/>
            <w:sz w:val="24"/>
            <w:szCs w:val="24"/>
            <w:bdr w:val="none" w:sz="0" w:space="0" w:color="auto" w:frame="1"/>
            <w:lang w:val="en-GB"/>
          </w:rPr>
          <w:t>tsunami</w:t>
        </w:r>
      </w:hyperlink>
      <w:r w:rsidR="006F5CEC" w:rsidRPr="009F1B18">
        <w:rPr>
          <w:rFonts w:eastAsia="Times New Roman" w:cstheme="minorHAnsi"/>
          <w:sz w:val="24"/>
          <w:szCs w:val="24"/>
          <w:lang w:val="en-GB"/>
        </w:rPr>
        <w:t>.</w:t>
      </w:r>
      <w:r w:rsidR="009F1B18">
        <w:rPr>
          <w:rFonts w:eastAsia="Times New Roman" w:cstheme="minorHAnsi"/>
          <w:sz w:val="24"/>
          <w:szCs w:val="24"/>
          <w:lang w:val="en-GB"/>
        </w:rPr>
        <w:t xml:space="preserve"> </w:t>
      </w:r>
      <w:r w:rsidR="006F5CEC" w:rsidRPr="009F1B18">
        <w:rPr>
          <w:rFonts w:eastAsia="Times New Roman" w:cstheme="minorHAnsi"/>
          <w:sz w:val="24"/>
          <w:szCs w:val="24"/>
          <w:lang w:val="en-GB"/>
        </w:rPr>
        <w:t>The waves did arrive, but they carried none of the destructive power of those that laid waste to Japan’s north-east coast on 11 March 2011, when more than 18,000 people perished, most of them by drowning.</w:t>
      </w:r>
    </w:p>
    <w:p w:rsidR="006F5CEC" w:rsidRPr="009F1B18" w:rsidRDefault="006F5CEC" w:rsidP="009F1B18">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 xml:space="preserve">In towns and villages on the </w:t>
      </w:r>
      <w:r w:rsidRPr="00AC70E6">
        <w:rPr>
          <w:rFonts w:eastAsia="Times New Roman" w:cstheme="minorHAnsi"/>
          <w:b/>
          <w:sz w:val="24"/>
          <w:szCs w:val="24"/>
          <w:lang w:val="en-GB"/>
        </w:rPr>
        <w:t>remote</w:t>
      </w:r>
      <w:r w:rsidRPr="009F1B18">
        <w:rPr>
          <w:rFonts w:eastAsia="Times New Roman" w:cstheme="minorHAnsi"/>
          <w:sz w:val="24"/>
          <w:szCs w:val="24"/>
          <w:lang w:val="en-GB"/>
        </w:rPr>
        <w:t xml:space="preserve"> Noto peninsula, cars were perched on roads scarred by deep fissures, </w:t>
      </w:r>
      <w:r w:rsidRPr="00AC70E6">
        <w:rPr>
          <w:rFonts w:eastAsia="Times New Roman" w:cstheme="minorHAnsi"/>
          <w:sz w:val="24"/>
          <w:szCs w:val="24"/>
          <w:highlight w:val="lightGray"/>
          <w:lang w:val="en-GB"/>
        </w:rPr>
        <w:t>multi-storey buildings</w:t>
      </w:r>
      <w:r w:rsidRPr="009F1B18">
        <w:rPr>
          <w:rFonts w:eastAsia="Times New Roman" w:cstheme="minorHAnsi"/>
          <w:sz w:val="24"/>
          <w:szCs w:val="24"/>
          <w:lang w:val="en-GB"/>
        </w:rPr>
        <w:t xml:space="preserve"> rested awkwardly on their sides, and </w:t>
      </w:r>
      <w:r w:rsidRPr="00477409">
        <w:rPr>
          <w:rFonts w:eastAsia="Times New Roman" w:cstheme="minorHAnsi"/>
          <w:sz w:val="24"/>
          <w:szCs w:val="24"/>
          <w:highlight w:val="lightGray"/>
          <w:lang w:val="en-GB"/>
        </w:rPr>
        <w:t>roof tiles carpeted collapsed homes</w:t>
      </w:r>
      <w:r w:rsidRPr="009F1B18">
        <w:rPr>
          <w:rFonts w:eastAsia="Times New Roman" w:cstheme="minorHAnsi"/>
          <w:sz w:val="24"/>
          <w:szCs w:val="24"/>
          <w:lang w:val="en-GB"/>
        </w:rPr>
        <w:t>. The destruction came not from a towering tsunami, but from a series of strong quakes, the first of which caused shaking that reached the highest level of seven on Japan’s</w:t>
      </w:r>
      <w:r w:rsidR="009F1B18">
        <w:rPr>
          <w:rFonts w:eastAsia="Times New Roman" w:cstheme="minorHAnsi"/>
          <w:sz w:val="24"/>
          <w:szCs w:val="24"/>
          <w:lang w:val="en-GB"/>
        </w:rPr>
        <w:t xml:space="preserve"> </w:t>
      </w:r>
      <w:hyperlink r:id="rId11" w:history="1">
        <w:r w:rsidRPr="009F1B18">
          <w:rPr>
            <w:rFonts w:eastAsia="Times New Roman" w:cstheme="minorHAnsi"/>
            <w:sz w:val="24"/>
            <w:szCs w:val="24"/>
            <w:bdr w:val="none" w:sz="0" w:space="0" w:color="auto" w:frame="1"/>
            <w:lang w:val="en-GB"/>
          </w:rPr>
          <w:t>seismic intensity scale</w:t>
        </w:r>
      </w:hyperlink>
      <w:r w:rsidRPr="009F1B18">
        <w:rPr>
          <w:rFonts w:eastAsia="Times New Roman" w:cstheme="minorHAnsi"/>
          <w:sz w:val="24"/>
          <w:szCs w:val="24"/>
          <w:lang w:val="en-GB"/>
        </w:rPr>
        <w:t>.</w:t>
      </w:r>
      <w:r w:rsidR="009F1B18">
        <w:rPr>
          <w:rFonts w:eastAsia="Times New Roman" w:cstheme="minorHAnsi"/>
          <w:sz w:val="24"/>
          <w:szCs w:val="24"/>
          <w:lang w:val="en-GB"/>
        </w:rPr>
        <w:t xml:space="preserve"> </w:t>
      </w:r>
      <w:r w:rsidRPr="009F1B18">
        <w:rPr>
          <w:rFonts w:eastAsia="Times New Roman" w:cstheme="minorHAnsi"/>
          <w:sz w:val="24"/>
          <w:szCs w:val="24"/>
          <w:lang w:val="en-GB"/>
        </w:rPr>
        <w:t xml:space="preserve">This week’s disaster was a reminder of Japan’s vulnerability to </w:t>
      </w:r>
      <w:r w:rsidRPr="00477409">
        <w:rPr>
          <w:rFonts w:eastAsia="Times New Roman" w:cstheme="minorHAnsi"/>
          <w:b/>
          <w:sz w:val="24"/>
          <w:szCs w:val="24"/>
          <w:lang w:val="en-GB"/>
        </w:rPr>
        <w:t>merciless</w:t>
      </w:r>
      <w:r w:rsidRPr="009F1B18">
        <w:rPr>
          <w:rFonts w:eastAsia="Times New Roman" w:cstheme="minorHAnsi"/>
          <w:sz w:val="24"/>
          <w:szCs w:val="24"/>
          <w:lang w:val="en-GB"/>
        </w:rPr>
        <w:t xml:space="preserve"> seismic activity, and of the </w:t>
      </w:r>
      <w:r w:rsidRPr="00477409">
        <w:rPr>
          <w:rFonts w:eastAsia="Times New Roman" w:cstheme="minorHAnsi"/>
          <w:b/>
          <w:sz w:val="24"/>
          <w:szCs w:val="24"/>
          <w:lang w:val="en-GB"/>
        </w:rPr>
        <w:t>inadequate</w:t>
      </w:r>
      <w:r w:rsidRPr="009F1B18">
        <w:rPr>
          <w:rFonts w:eastAsia="Times New Roman" w:cstheme="minorHAnsi"/>
          <w:sz w:val="24"/>
          <w:szCs w:val="24"/>
          <w:lang w:val="en-GB"/>
        </w:rPr>
        <w:t xml:space="preserve"> levels of disaster readiness in at-risk communities across the </w:t>
      </w:r>
      <w:r w:rsidRPr="00477409">
        <w:rPr>
          <w:rFonts w:eastAsia="Times New Roman" w:cstheme="minorHAnsi"/>
          <w:b/>
          <w:sz w:val="24"/>
          <w:szCs w:val="24"/>
          <w:lang w:val="en-GB"/>
        </w:rPr>
        <w:t>archipelago</w:t>
      </w:r>
      <w:r w:rsidRPr="009F1B18">
        <w:rPr>
          <w:rFonts w:eastAsia="Times New Roman" w:cstheme="minorHAnsi"/>
          <w:sz w:val="24"/>
          <w:szCs w:val="24"/>
          <w:lang w:val="en-GB"/>
        </w:rPr>
        <w:t>.</w:t>
      </w:r>
    </w:p>
    <w:p w:rsidR="006F5CEC" w:rsidRPr="00477409" w:rsidRDefault="006F5CEC" w:rsidP="009F1B18">
      <w:pPr>
        <w:shd w:val="clear" w:color="auto" w:fill="FFFFFF"/>
        <w:spacing w:afterLines="80" w:after="192" w:line="360" w:lineRule="auto"/>
        <w:jc w:val="both"/>
        <w:textAlignment w:val="baseline"/>
        <w:outlineLvl w:val="1"/>
        <w:rPr>
          <w:rFonts w:eastAsia="Times New Roman" w:cstheme="minorHAnsi"/>
          <w:b/>
          <w:bCs/>
          <w:smallCaps/>
          <w:sz w:val="24"/>
          <w:szCs w:val="24"/>
          <w:lang w:val="en-GB"/>
        </w:rPr>
      </w:pPr>
      <w:r w:rsidRPr="00477409">
        <w:rPr>
          <w:rFonts w:eastAsia="Times New Roman" w:cstheme="minorHAnsi"/>
          <w:b/>
          <w:bCs/>
          <w:smallCaps/>
          <w:sz w:val="24"/>
          <w:szCs w:val="24"/>
          <w:lang w:val="en-GB"/>
        </w:rPr>
        <w:t>Skyscrapers with shock absorbers and pendulums</w:t>
      </w:r>
    </w:p>
    <w:p w:rsidR="006F5CEC" w:rsidRPr="009F1B18" w:rsidRDefault="006F5CEC" w:rsidP="009F1B18">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Japan has a deserved reputation for its earthquake-resistant construction technology. Located on the Pacific “ring of fire”, the country is the most seismically active in the world, experiencing about 1,500 noticeable quakes a year.</w:t>
      </w:r>
      <w:r w:rsidR="009F1B18">
        <w:rPr>
          <w:rFonts w:eastAsia="Times New Roman" w:cstheme="minorHAnsi"/>
          <w:sz w:val="24"/>
          <w:szCs w:val="24"/>
          <w:lang w:val="en-GB"/>
        </w:rPr>
        <w:t xml:space="preserve"> </w:t>
      </w:r>
      <w:r w:rsidRPr="009F1B18">
        <w:rPr>
          <w:rFonts w:eastAsia="Times New Roman" w:cstheme="minorHAnsi"/>
          <w:sz w:val="24"/>
          <w:szCs w:val="24"/>
          <w:lang w:val="en-GB"/>
        </w:rPr>
        <w:t xml:space="preserve">Buildings constructed after 1981 are designed to </w:t>
      </w:r>
      <w:r w:rsidRPr="00477409">
        <w:rPr>
          <w:rFonts w:eastAsia="Times New Roman" w:cstheme="minorHAnsi"/>
          <w:b/>
          <w:sz w:val="24"/>
          <w:szCs w:val="24"/>
          <w:lang w:val="en-GB"/>
        </w:rPr>
        <w:t>withstand</w:t>
      </w:r>
      <w:r w:rsidRPr="009F1B18">
        <w:rPr>
          <w:rFonts w:eastAsia="Times New Roman" w:cstheme="minorHAnsi"/>
          <w:sz w:val="24"/>
          <w:szCs w:val="24"/>
          <w:lang w:val="en-GB"/>
        </w:rPr>
        <w:t xml:space="preserve"> even powerful earthquakes. Finding oneself stuck on the upper floor of </w:t>
      </w:r>
      <w:r w:rsidRPr="0072228E">
        <w:rPr>
          <w:rFonts w:eastAsia="Times New Roman" w:cstheme="minorHAnsi"/>
          <w:sz w:val="24"/>
          <w:szCs w:val="24"/>
          <w:lang w:val="en-GB"/>
        </w:rPr>
        <w:t>a</w:t>
      </w:r>
      <w:r w:rsidR="009F1B18" w:rsidRPr="0072228E">
        <w:rPr>
          <w:rFonts w:eastAsia="Times New Roman" w:cstheme="minorHAnsi"/>
          <w:sz w:val="24"/>
          <w:szCs w:val="24"/>
          <w:lang w:val="en-GB"/>
        </w:rPr>
        <w:t xml:space="preserve"> </w:t>
      </w:r>
      <w:hyperlink r:id="rId12" w:history="1">
        <w:r w:rsidRPr="0072228E">
          <w:rPr>
            <w:rFonts w:eastAsia="Times New Roman" w:cstheme="minorHAnsi"/>
            <w:sz w:val="24"/>
            <w:szCs w:val="24"/>
            <w:bdr w:val="none" w:sz="0" w:space="0" w:color="auto" w:frame="1"/>
            <w:lang w:val="en-GB"/>
          </w:rPr>
          <w:t>swaying Tokyo skyscraper</w:t>
        </w:r>
      </w:hyperlink>
      <w:r w:rsidR="009F1B18">
        <w:rPr>
          <w:rFonts w:eastAsia="Times New Roman" w:cstheme="minorHAnsi"/>
          <w:sz w:val="24"/>
          <w:szCs w:val="24"/>
          <w:lang w:val="en-GB"/>
        </w:rPr>
        <w:t xml:space="preserve"> </w:t>
      </w:r>
      <w:r w:rsidRPr="009F1B18">
        <w:rPr>
          <w:rFonts w:eastAsia="Times New Roman" w:cstheme="minorHAnsi"/>
          <w:sz w:val="24"/>
          <w:szCs w:val="24"/>
          <w:lang w:val="en-GB"/>
        </w:rPr>
        <w:t xml:space="preserve">during a powerful quake can be deeply unsettling. But there is an expectation that the structure will remain upright, thanks to innovations including </w:t>
      </w:r>
      <w:bookmarkStart w:id="0" w:name="_Hlk161846203"/>
      <w:bookmarkStart w:id="1" w:name="_GoBack"/>
      <w:r w:rsidRPr="00477409">
        <w:rPr>
          <w:rFonts w:eastAsia="Times New Roman" w:cstheme="minorHAnsi"/>
          <w:sz w:val="24"/>
          <w:szCs w:val="24"/>
          <w:highlight w:val="lightGray"/>
          <w:lang w:val="en-GB"/>
        </w:rPr>
        <w:t>massive soft rubber cushions installed beneath the foundations</w:t>
      </w:r>
      <w:bookmarkEnd w:id="0"/>
      <w:bookmarkEnd w:id="1"/>
      <w:r w:rsidRPr="009F1B18">
        <w:rPr>
          <w:rFonts w:eastAsia="Times New Roman" w:cstheme="minorHAnsi"/>
          <w:sz w:val="24"/>
          <w:szCs w:val="24"/>
          <w:lang w:val="en-GB"/>
        </w:rPr>
        <w:t xml:space="preserve">, </w:t>
      </w:r>
      <w:r w:rsidRPr="00477409">
        <w:rPr>
          <w:rFonts w:eastAsia="Times New Roman" w:cstheme="minorHAnsi"/>
          <w:sz w:val="24"/>
          <w:szCs w:val="24"/>
          <w:highlight w:val="lightGray"/>
          <w:lang w:val="en-GB"/>
        </w:rPr>
        <w:t>shock absorbers on each floor</w:t>
      </w:r>
      <w:r w:rsidRPr="009F1B18">
        <w:rPr>
          <w:rFonts w:eastAsia="Times New Roman" w:cstheme="minorHAnsi"/>
          <w:sz w:val="24"/>
          <w:szCs w:val="24"/>
          <w:lang w:val="en-GB"/>
        </w:rPr>
        <w:t xml:space="preserve"> and, in some cases, enormous pendulums at the top to counteract the movement of the building.</w:t>
      </w:r>
    </w:p>
    <w:p w:rsidR="006F5CEC" w:rsidRPr="009F1B18" w:rsidRDefault="006F5CEC" w:rsidP="009F1B18">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 xml:space="preserve">But the </w:t>
      </w:r>
      <w:r w:rsidRPr="00477409">
        <w:rPr>
          <w:rFonts w:eastAsia="Times New Roman" w:cstheme="minorHAnsi"/>
          <w:b/>
          <w:sz w:val="24"/>
          <w:szCs w:val="24"/>
          <w:lang w:val="en-GB"/>
        </w:rPr>
        <w:t>aftermath</w:t>
      </w:r>
      <w:r w:rsidRPr="009F1B18">
        <w:rPr>
          <w:rFonts w:eastAsia="Times New Roman" w:cstheme="minorHAnsi"/>
          <w:sz w:val="24"/>
          <w:szCs w:val="24"/>
          <w:lang w:val="en-GB"/>
        </w:rPr>
        <w:t xml:space="preserve"> of the Noto disaster told a very different story. While coast guards checked the sea for people who may have been swept out by tsunami waves of up to 1.2 metres in height, rescue workers continued to </w:t>
      </w:r>
      <w:r w:rsidRPr="00477409">
        <w:rPr>
          <w:rFonts w:eastAsia="Times New Roman" w:cstheme="minorHAnsi"/>
          <w:b/>
          <w:sz w:val="24"/>
          <w:szCs w:val="24"/>
          <w:lang w:val="en-GB"/>
        </w:rPr>
        <w:t>retrieve</w:t>
      </w:r>
      <w:r w:rsidRPr="009F1B18">
        <w:rPr>
          <w:rFonts w:eastAsia="Times New Roman" w:cstheme="minorHAnsi"/>
          <w:sz w:val="24"/>
          <w:szCs w:val="24"/>
          <w:lang w:val="en-GB"/>
        </w:rPr>
        <w:t xml:space="preserve"> bodies – and a small number of survivors – from the </w:t>
      </w:r>
      <w:r w:rsidRPr="00477409">
        <w:rPr>
          <w:rFonts w:eastAsia="Times New Roman" w:cstheme="minorHAnsi"/>
          <w:b/>
          <w:sz w:val="24"/>
          <w:szCs w:val="24"/>
          <w:lang w:val="en-GB"/>
        </w:rPr>
        <w:t>rubble</w:t>
      </w:r>
      <w:r w:rsidRPr="009F1B18">
        <w:rPr>
          <w:rFonts w:eastAsia="Times New Roman" w:cstheme="minorHAnsi"/>
          <w:sz w:val="24"/>
          <w:szCs w:val="24"/>
          <w:lang w:val="en-GB"/>
        </w:rPr>
        <w:t>.</w:t>
      </w:r>
      <w:r w:rsidR="004227FE">
        <w:rPr>
          <w:rFonts w:eastAsia="Times New Roman" w:cstheme="minorHAnsi"/>
          <w:sz w:val="24"/>
          <w:szCs w:val="24"/>
          <w:lang w:val="en-GB"/>
        </w:rPr>
        <w:t xml:space="preserve"> </w:t>
      </w:r>
      <w:r w:rsidRPr="009F1B18">
        <w:rPr>
          <w:rFonts w:eastAsia="Times New Roman" w:cstheme="minorHAnsi"/>
          <w:sz w:val="24"/>
          <w:szCs w:val="24"/>
          <w:lang w:val="en-GB"/>
        </w:rPr>
        <w:t xml:space="preserve">The victims had died in a way Japan had not witnessed on this scale since April 2016, when a magnitude 7.0 quake killed 273 people in the Kumamoto region in the south-west. Japanese of a certain age will also recall the January 1995 quake that sparked </w:t>
      </w:r>
      <w:r w:rsidRPr="00477409">
        <w:rPr>
          <w:rFonts w:eastAsia="Times New Roman" w:cstheme="minorHAnsi"/>
          <w:b/>
          <w:sz w:val="24"/>
          <w:szCs w:val="24"/>
          <w:lang w:val="en-GB"/>
        </w:rPr>
        <w:t>blazes</w:t>
      </w:r>
      <w:r w:rsidRPr="009F1B18">
        <w:rPr>
          <w:rFonts w:eastAsia="Times New Roman" w:cstheme="minorHAnsi"/>
          <w:sz w:val="24"/>
          <w:szCs w:val="24"/>
          <w:lang w:val="en-GB"/>
        </w:rPr>
        <w:t xml:space="preserve"> that swept through neighbourhoods in Kobe, a port city in western Japan, killing 6,000 people. </w:t>
      </w:r>
      <w:r w:rsidRPr="009F1B18">
        <w:rPr>
          <w:rFonts w:eastAsia="Times New Roman" w:cstheme="minorHAnsi"/>
          <w:sz w:val="24"/>
          <w:szCs w:val="24"/>
          <w:lang w:val="en-GB"/>
        </w:rPr>
        <w:lastRenderedPageBreak/>
        <w:t>In Noto, large numbers of people died a way that shocked many in “earthquake-resilient” Japan.</w:t>
      </w:r>
      <w:r w:rsidR="004227FE">
        <w:rPr>
          <w:rFonts w:eastAsia="Times New Roman" w:cstheme="minorHAnsi"/>
          <w:sz w:val="24"/>
          <w:szCs w:val="24"/>
          <w:lang w:val="en-GB"/>
        </w:rPr>
        <w:t xml:space="preserve"> </w:t>
      </w:r>
      <w:r w:rsidRPr="009F1B18">
        <w:rPr>
          <w:rFonts w:eastAsia="Times New Roman" w:cstheme="minorHAnsi"/>
          <w:sz w:val="24"/>
          <w:szCs w:val="24"/>
          <w:lang w:val="en-GB"/>
        </w:rPr>
        <w:t xml:space="preserve">In terms of their ability to withstand powerful quakes, </w:t>
      </w:r>
      <w:r w:rsidR="004227FE">
        <w:rPr>
          <w:rFonts w:eastAsia="Times New Roman" w:cstheme="minorHAnsi"/>
          <w:sz w:val="24"/>
          <w:szCs w:val="24"/>
          <w:lang w:val="en-GB"/>
        </w:rPr>
        <w:t>the</w:t>
      </w:r>
      <w:r w:rsidRPr="009F1B18">
        <w:rPr>
          <w:rFonts w:eastAsia="Times New Roman" w:cstheme="minorHAnsi"/>
          <w:sz w:val="24"/>
          <w:szCs w:val="24"/>
          <w:lang w:val="en-GB"/>
        </w:rPr>
        <w:t xml:space="preserve"> disaster highlighted the </w:t>
      </w:r>
      <w:r w:rsidRPr="00646B1B">
        <w:rPr>
          <w:rFonts w:eastAsia="Times New Roman" w:cstheme="minorHAnsi"/>
          <w:b/>
          <w:sz w:val="24"/>
          <w:szCs w:val="24"/>
          <w:lang w:val="en-GB"/>
        </w:rPr>
        <w:t>yawning</w:t>
      </w:r>
      <w:r w:rsidRPr="009F1B18">
        <w:rPr>
          <w:rFonts w:eastAsia="Times New Roman" w:cstheme="minorHAnsi"/>
          <w:sz w:val="24"/>
          <w:szCs w:val="24"/>
          <w:lang w:val="en-GB"/>
        </w:rPr>
        <w:t xml:space="preserve"> gap between isolated, depopulated communities such as Wajima and Suzu, where 78 people had been reported dead as of Friday, and cities such as Tokyo, 450km </w:t>
      </w:r>
      <w:r w:rsidRPr="00646B1B">
        <w:rPr>
          <w:rFonts w:eastAsia="Times New Roman" w:cstheme="minorHAnsi"/>
          <w:b/>
          <w:sz w:val="24"/>
          <w:szCs w:val="24"/>
          <w:lang w:val="en-GB"/>
        </w:rPr>
        <w:t>away</w:t>
      </w:r>
      <w:r w:rsidRPr="009F1B18">
        <w:rPr>
          <w:rFonts w:eastAsia="Times New Roman" w:cstheme="minorHAnsi"/>
          <w:sz w:val="24"/>
          <w:szCs w:val="24"/>
          <w:lang w:val="en-GB"/>
        </w:rPr>
        <w:t>.</w:t>
      </w:r>
    </w:p>
    <w:p w:rsidR="006F5CEC" w:rsidRPr="00477409" w:rsidRDefault="006F5CEC" w:rsidP="009F1B18">
      <w:pPr>
        <w:shd w:val="clear" w:color="auto" w:fill="FFFFFF"/>
        <w:spacing w:afterLines="80" w:after="192" w:line="360" w:lineRule="auto"/>
        <w:jc w:val="both"/>
        <w:textAlignment w:val="baseline"/>
        <w:outlineLvl w:val="1"/>
        <w:rPr>
          <w:rFonts w:eastAsia="Times New Roman" w:cstheme="minorHAnsi"/>
          <w:b/>
          <w:bCs/>
          <w:smallCaps/>
          <w:sz w:val="24"/>
          <w:szCs w:val="24"/>
          <w:lang w:val="en-GB"/>
        </w:rPr>
      </w:pPr>
      <w:r w:rsidRPr="00477409">
        <w:rPr>
          <w:rFonts w:eastAsia="Times New Roman" w:cstheme="minorHAnsi"/>
          <w:b/>
          <w:bCs/>
          <w:smallCaps/>
          <w:sz w:val="24"/>
          <w:szCs w:val="24"/>
          <w:lang w:val="en-GB"/>
        </w:rPr>
        <w:t>Isolated and ageing</w:t>
      </w:r>
    </w:p>
    <w:p w:rsidR="006F5CEC" w:rsidRPr="009F1B18" w:rsidRDefault="006F5CEC" w:rsidP="009F1B18">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Those differences are as much social as technological, according to Tsuyoshi Takada, professor emeritus at Tokyo University and president of the Japan Association for Earthquake Engineering.</w:t>
      </w:r>
      <w:r w:rsidR="004227FE">
        <w:rPr>
          <w:rFonts w:eastAsia="Times New Roman" w:cstheme="minorHAnsi"/>
          <w:sz w:val="24"/>
          <w:szCs w:val="24"/>
          <w:lang w:val="en-GB"/>
        </w:rPr>
        <w:t xml:space="preserve"> </w:t>
      </w:r>
      <w:r w:rsidRPr="009F1B18">
        <w:rPr>
          <w:rFonts w:eastAsia="Times New Roman" w:cstheme="minorHAnsi"/>
          <w:sz w:val="24"/>
          <w:szCs w:val="24"/>
          <w:lang w:val="en-GB"/>
        </w:rPr>
        <w:t>“Many of the houses are more than 50 years old and are not maintained properly,” Takada said. “And the region is experiencing depopulation, like every rural area in Japan, with young people in particular leaving.”</w:t>
      </w:r>
      <w:r w:rsidR="004227FE">
        <w:rPr>
          <w:rFonts w:eastAsia="Times New Roman" w:cstheme="minorHAnsi"/>
          <w:sz w:val="24"/>
          <w:szCs w:val="24"/>
          <w:lang w:val="en-GB"/>
        </w:rPr>
        <w:t xml:space="preserve"> </w:t>
      </w:r>
      <w:r w:rsidRPr="009F1B18">
        <w:rPr>
          <w:rFonts w:eastAsia="Times New Roman" w:cstheme="minorHAnsi"/>
          <w:sz w:val="24"/>
          <w:szCs w:val="24"/>
          <w:lang w:val="en-GB"/>
        </w:rPr>
        <w:t>In ageing communities, evacuations from quake zones and approaching tsunami can take longer, often with</w:t>
      </w:r>
      <w:r w:rsidR="004227FE">
        <w:rPr>
          <w:rFonts w:eastAsia="Times New Roman" w:cstheme="minorHAnsi"/>
          <w:sz w:val="24"/>
          <w:szCs w:val="24"/>
          <w:lang w:val="en-GB"/>
        </w:rPr>
        <w:t xml:space="preserve"> </w:t>
      </w:r>
      <w:hyperlink r:id="rId13" w:history="1">
        <w:r w:rsidRPr="009F1B18">
          <w:rPr>
            <w:rFonts w:eastAsia="Times New Roman" w:cstheme="minorHAnsi"/>
            <w:sz w:val="24"/>
            <w:szCs w:val="24"/>
            <w:bdr w:val="none" w:sz="0" w:space="0" w:color="auto" w:frame="1"/>
            <w:lang w:val="en-GB"/>
          </w:rPr>
          <w:t>tragic consequences</w:t>
        </w:r>
      </w:hyperlink>
      <w:r w:rsidRPr="009F1B18">
        <w:rPr>
          <w:rFonts w:eastAsia="Times New Roman" w:cstheme="minorHAnsi"/>
          <w:sz w:val="24"/>
          <w:szCs w:val="24"/>
          <w:lang w:val="en-GB"/>
        </w:rPr>
        <w:t xml:space="preserve">. </w:t>
      </w:r>
      <w:r w:rsidR="004227FE">
        <w:rPr>
          <w:rFonts w:eastAsia="Times New Roman" w:cstheme="minorHAnsi"/>
          <w:sz w:val="24"/>
          <w:szCs w:val="24"/>
          <w:lang w:val="en-GB"/>
        </w:rPr>
        <w:t>I</w:t>
      </w:r>
      <w:r w:rsidRPr="009F1B18">
        <w:rPr>
          <w:rFonts w:eastAsia="Times New Roman" w:cstheme="minorHAnsi"/>
          <w:sz w:val="24"/>
          <w:szCs w:val="24"/>
          <w:lang w:val="en-GB"/>
        </w:rPr>
        <w:t>n Noto, a large number of the dead and missing are older residents.</w:t>
      </w:r>
      <w:r w:rsidR="004227FE">
        <w:rPr>
          <w:rFonts w:eastAsia="Times New Roman" w:cstheme="minorHAnsi"/>
          <w:sz w:val="24"/>
          <w:szCs w:val="24"/>
          <w:lang w:val="en-GB"/>
        </w:rPr>
        <w:t xml:space="preserve"> </w:t>
      </w:r>
      <w:r w:rsidRPr="009F1B18">
        <w:rPr>
          <w:rFonts w:eastAsia="Times New Roman" w:cstheme="minorHAnsi"/>
          <w:sz w:val="24"/>
          <w:szCs w:val="24"/>
          <w:lang w:val="en-GB"/>
        </w:rPr>
        <w:t xml:space="preserve">Many lived in homes that do not meet </w:t>
      </w:r>
      <w:r w:rsidRPr="00477409">
        <w:rPr>
          <w:rFonts w:eastAsia="Times New Roman" w:cstheme="minorHAnsi"/>
          <w:b/>
          <w:sz w:val="24"/>
          <w:szCs w:val="24"/>
          <w:lang w:val="en-GB"/>
        </w:rPr>
        <w:t>stringent</w:t>
      </w:r>
      <w:r w:rsidRPr="009F1B18">
        <w:rPr>
          <w:rFonts w:eastAsia="Times New Roman" w:cstheme="minorHAnsi"/>
          <w:sz w:val="24"/>
          <w:szCs w:val="24"/>
          <w:lang w:val="en-GB"/>
        </w:rPr>
        <w:t xml:space="preserve"> design codes as they were built before 1981. Houses built before that year </w:t>
      </w:r>
      <w:r w:rsidRPr="00477409">
        <w:rPr>
          <w:rFonts w:eastAsia="Times New Roman" w:cstheme="minorHAnsi"/>
          <w:b/>
          <w:sz w:val="24"/>
          <w:szCs w:val="24"/>
          <w:lang w:val="en-GB"/>
        </w:rPr>
        <w:t>bore the brunt</w:t>
      </w:r>
      <w:r w:rsidRPr="009F1B18">
        <w:rPr>
          <w:rFonts w:eastAsia="Times New Roman" w:cstheme="minorHAnsi"/>
          <w:sz w:val="24"/>
          <w:szCs w:val="24"/>
          <w:lang w:val="en-GB"/>
        </w:rPr>
        <w:t xml:space="preserve"> of the 1995 disaster in Kobe, leading to an </w:t>
      </w:r>
      <w:r w:rsidRPr="00477409">
        <w:rPr>
          <w:rFonts w:eastAsia="Times New Roman" w:cstheme="minorHAnsi"/>
          <w:b/>
          <w:sz w:val="24"/>
          <w:szCs w:val="24"/>
          <w:lang w:val="en-GB"/>
        </w:rPr>
        <w:t>overhaul</w:t>
      </w:r>
      <w:r w:rsidRPr="009F1B18">
        <w:rPr>
          <w:rFonts w:eastAsia="Times New Roman" w:cstheme="minorHAnsi"/>
          <w:sz w:val="24"/>
          <w:szCs w:val="24"/>
          <w:lang w:val="en-GB"/>
        </w:rPr>
        <w:t xml:space="preserve"> in building codes requiring the </w:t>
      </w:r>
      <w:r w:rsidRPr="00477409">
        <w:rPr>
          <w:rFonts w:eastAsia="Times New Roman" w:cstheme="minorHAnsi"/>
          <w:sz w:val="24"/>
          <w:szCs w:val="24"/>
          <w:highlight w:val="lightGray"/>
          <w:lang w:val="en-GB"/>
        </w:rPr>
        <w:t>seismic retrofitting</w:t>
      </w:r>
      <w:r w:rsidRPr="009F1B18">
        <w:rPr>
          <w:rFonts w:eastAsia="Times New Roman" w:cstheme="minorHAnsi"/>
          <w:sz w:val="24"/>
          <w:szCs w:val="24"/>
          <w:lang w:val="en-GB"/>
        </w:rPr>
        <w:t xml:space="preserve"> of certain structures, including all public schools.</w:t>
      </w:r>
    </w:p>
    <w:p w:rsidR="006F5CEC" w:rsidRPr="009F1B18" w:rsidRDefault="006F5CEC" w:rsidP="009F1B18">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 xml:space="preserve">“The Noto earthquake’s intensity was strong enough to destroy houses and buildings, including many old </w:t>
      </w:r>
      <w:r w:rsidRPr="00101E82">
        <w:rPr>
          <w:rFonts w:eastAsia="Times New Roman" w:cstheme="minorHAnsi"/>
          <w:b/>
          <w:sz w:val="24"/>
          <w:szCs w:val="24"/>
          <w:lang w:val="en-GB"/>
        </w:rPr>
        <w:t>timber</w:t>
      </w:r>
      <w:r w:rsidRPr="009F1B18">
        <w:rPr>
          <w:rFonts w:eastAsia="Times New Roman" w:cstheme="minorHAnsi"/>
          <w:sz w:val="24"/>
          <w:szCs w:val="24"/>
          <w:lang w:val="en-GB"/>
        </w:rPr>
        <w:t xml:space="preserve"> houses vulnerable to strong shaking,” said Yoshiaki Nakano, director-general of the Earthquake Disaster </w:t>
      </w:r>
      <w:r w:rsidRPr="00101E82">
        <w:rPr>
          <w:rFonts w:eastAsia="Times New Roman" w:cstheme="minorHAnsi"/>
          <w:b/>
          <w:sz w:val="24"/>
          <w:szCs w:val="24"/>
          <w:lang w:val="en-GB"/>
        </w:rPr>
        <w:t>Mitigation</w:t>
      </w:r>
      <w:r w:rsidRPr="009F1B18">
        <w:rPr>
          <w:rFonts w:eastAsia="Times New Roman" w:cstheme="minorHAnsi"/>
          <w:sz w:val="24"/>
          <w:szCs w:val="24"/>
          <w:lang w:val="en-GB"/>
        </w:rPr>
        <w:t xml:space="preserve"> Research Division at the National Research Institute for Earth Science and Disaster Resilience near Tokyo.</w:t>
      </w:r>
      <w:r w:rsidR="004227FE">
        <w:rPr>
          <w:rFonts w:eastAsia="Times New Roman" w:cstheme="minorHAnsi"/>
          <w:sz w:val="24"/>
          <w:szCs w:val="24"/>
          <w:lang w:val="en-GB"/>
        </w:rPr>
        <w:t xml:space="preserve"> </w:t>
      </w:r>
      <w:r w:rsidRPr="009F1B18">
        <w:rPr>
          <w:rFonts w:eastAsia="Times New Roman" w:cstheme="minorHAnsi"/>
          <w:sz w:val="24"/>
          <w:szCs w:val="24"/>
          <w:lang w:val="en-GB"/>
        </w:rPr>
        <w:t xml:space="preserve">“Also, a series of earthquakes in the area in the past three years may have already damaged those buildings, which may have accelerated and increased the damage [caused </w:t>
      </w:r>
      <w:r w:rsidR="004227FE">
        <w:rPr>
          <w:rFonts w:eastAsia="Times New Roman" w:cstheme="minorHAnsi"/>
          <w:sz w:val="24"/>
          <w:szCs w:val="24"/>
          <w:lang w:val="en-GB"/>
        </w:rPr>
        <w:t>in 2024</w:t>
      </w:r>
      <w:r w:rsidRPr="009F1B18">
        <w:rPr>
          <w:rFonts w:eastAsia="Times New Roman" w:cstheme="minorHAnsi"/>
          <w:sz w:val="24"/>
          <w:szCs w:val="24"/>
          <w:lang w:val="en-GB"/>
        </w:rPr>
        <w:t>].”</w:t>
      </w:r>
      <w:r w:rsidR="004227FE">
        <w:rPr>
          <w:rFonts w:eastAsia="Times New Roman" w:cstheme="minorHAnsi"/>
          <w:sz w:val="24"/>
          <w:szCs w:val="24"/>
          <w:lang w:val="en-GB"/>
        </w:rPr>
        <w:t xml:space="preserve"> </w:t>
      </w:r>
      <w:r w:rsidRPr="009F1B18">
        <w:rPr>
          <w:rFonts w:eastAsia="Times New Roman" w:cstheme="minorHAnsi"/>
          <w:sz w:val="24"/>
          <w:szCs w:val="24"/>
          <w:lang w:val="en-GB"/>
        </w:rPr>
        <w:t xml:space="preserve">Older residents are less likely to invest in reinforcing their ageing houses in their </w:t>
      </w:r>
      <w:r w:rsidRPr="00101E82">
        <w:rPr>
          <w:rFonts w:eastAsia="Times New Roman" w:cstheme="minorHAnsi"/>
          <w:b/>
          <w:sz w:val="24"/>
          <w:szCs w:val="24"/>
          <w:lang w:val="en-GB"/>
        </w:rPr>
        <w:t>twilight years</w:t>
      </w:r>
      <w:r w:rsidRPr="009F1B18">
        <w:rPr>
          <w:rFonts w:eastAsia="Times New Roman" w:cstheme="minorHAnsi"/>
          <w:sz w:val="24"/>
          <w:szCs w:val="24"/>
          <w:lang w:val="en-GB"/>
        </w:rPr>
        <w:t>, according to Takuya Nishimura, a professor in the Disaster Prevention Research Institute at Kyoto University.</w:t>
      </w:r>
      <w:r w:rsidR="004227FE">
        <w:rPr>
          <w:rFonts w:eastAsia="Times New Roman" w:cstheme="minorHAnsi"/>
          <w:sz w:val="24"/>
          <w:szCs w:val="24"/>
          <w:lang w:val="en-GB"/>
        </w:rPr>
        <w:t xml:space="preserve"> </w:t>
      </w:r>
      <w:r w:rsidRPr="009F1B18">
        <w:rPr>
          <w:rFonts w:eastAsia="Times New Roman" w:cstheme="minorHAnsi"/>
          <w:sz w:val="24"/>
          <w:szCs w:val="24"/>
          <w:lang w:val="en-GB"/>
        </w:rPr>
        <w:t>“It may be possible to add pillars to increase the strength of the house,” he said, adding that the heavy</w:t>
      </w:r>
      <w:r w:rsidR="004227FE">
        <w:rPr>
          <w:rFonts w:eastAsia="Times New Roman" w:cstheme="minorHAnsi"/>
          <w:sz w:val="24"/>
          <w:szCs w:val="24"/>
          <w:lang w:val="en-GB"/>
        </w:rPr>
        <w:t xml:space="preserve"> </w:t>
      </w:r>
      <w:r w:rsidRPr="009F1B18">
        <w:rPr>
          <w:rFonts w:eastAsia="Times New Roman" w:cstheme="minorHAnsi"/>
          <w:i/>
          <w:iCs/>
          <w:sz w:val="24"/>
          <w:szCs w:val="24"/>
          <w:bdr w:val="none" w:sz="0" w:space="0" w:color="auto" w:frame="1"/>
          <w:lang w:val="en-GB"/>
        </w:rPr>
        <w:t>kawara</w:t>
      </w:r>
      <w:r w:rsidR="004227FE">
        <w:rPr>
          <w:rFonts w:eastAsia="Times New Roman" w:cstheme="minorHAnsi"/>
          <w:sz w:val="24"/>
          <w:szCs w:val="24"/>
          <w:lang w:val="en-GB"/>
        </w:rPr>
        <w:t xml:space="preserve"> </w:t>
      </w:r>
      <w:r w:rsidRPr="00101E82">
        <w:rPr>
          <w:rFonts w:eastAsia="Times New Roman" w:cstheme="minorHAnsi"/>
          <w:b/>
          <w:sz w:val="24"/>
          <w:szCs w:val="24"/>
          <w:lang w:val="en-GB"/>
        </w:rPr>
        <w:t>clay</w:t>
      </w:r>
      <w:r w:rsidRPr="009F1B18">
        <w:rPr>
          <w:rFonts w:eastAsia="Times New Roman" w:cstheme="minorHAnsi"/>
          <w:sz w:val="24"/>
          <w:szCs w:val="24"/>
          <w:lang w:val="en-GB"/>
        </w:rPr>
        <w:t xml:space="preserve"> roof tiles that appeared to “squash” homes in Wajima and Suzu could be replaced with lighter materials. “But it’s difficult for residents to carry out these reinforcements because of the cost,” he said.</w:t>
      </w:r>
    </w:p>
    <w:p w:rsidR="006F39D4" w:rsidRPr="004227FE" w:rsidRDefault="006F5CEC" w:rsidP="004227FE">
      <w:pPr>
        <w:shd w:val="clear" w:color="auto" w:fill="FFFFFF"/>
        <w:spacing w:afterLines="80" w:after="192" w:line="360" w:lineRule="auto"/>
        <w:jc w:val="both"/>
        <w:textAlignment w:val="baseline"/>
        <w:rPr>
          <w:rFonts w:eastAsia="Times New Roman" w:cstheme="minorHAnsi"/>
          <w:sz w:val="24"/>
          <w:szCs w:val="24"/>
          <w:lang w:val="en-GB"/>
        </w:rPr>
      </w:pPr>
      <w:r w:rsidRPr="009F1B18">
        <w:rPr>
          <w:rFonts w:eastAsia="Times New Roman" w:cstheme="minorHAnsi"/>
          <w:sz w:val="24"/>
          <w:szCs w:val="24"/>
          <w:lang w:val="en-GB"/>
        </w:rPr>
        <w:t>Seismologists believe there is a 70% chance of a massive earthquake hitting the Tokyo metropolitan area within the next 30 years, killing up to 23,000 people and causing direct damage reaching ¥47tn (£254bn).</w:t>
      </w:r>
    </w:p>
    <w:sectPr w:rsidR="006F39D4" w:rsidRPr="004227FE" w:rsidSect="009F1B18">
      <w:type w:val="continuous"/>
      <w:pgSz w:w="11906" w:h="16838"/>
      <w:pgMar w:top="992" w:right="1418" w:bottom="1418" w:left="1418" w:header="425"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92E" w:rsidRDefault="009B292E" w:rsidP="009F1B18">
      <w:pPr>
        <w:spacing w:after="0" w:line="240" w:lineRule="auto"/>
      </w:pPr>
      <w:r>
        <w:separator/>
      </w:r>
    </w:p>
  </w:endnote>
  <w:endnote w:type="continuationSeparator" w:id="0">
    <w:p w:rsidR="009B292E" w:rsidRDefault="009B292E" w:rsidP="009F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92E" w:rsidRDefault="009B292E" w:rsidP="009F1B18">
      <w:pPr>
        <w:spacing w:after="0" w:line="240" w:lineRule="auto"/>
      </w:pPr>
      <w:r>
        <w:separator/>
      </w:r>
    </w:p>
  </w:footnote>
  <w:footnote w:type="continuationSeparator" w:id="0">
    <w:p w:rsidR="009B292E" w:rsidRDefault="009B292E" w:rsidP="009F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18" w:rsidRPr="009F1B18" w:rsidRDefault="009F1B18">
    <w:pPr>
      <w:pStyle w:val="En-tte"/>
      <w:rPr>
        <w:sz w:val="16"/>
        <w:szCs w:val="16"/>
      </w:rPr>
    </w:pPr>
    <w:r w:rsidRPr="009F1B18">
      <w:rPr>
        <w:sz w:val="16"/>
        <w:szCs w:val="16"/>
      </w:rPr>
      <w:t>O. Bouguin-Vasiljevic, Y1 MSc Civil Eng., EXAM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B1500"/>
    <w:multiLevelType w:val="multilevel"/>
    <w:tmpl w:val="D03C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EC"/>
    <w:rsid w:val="00101E82"/>
    <w:rsid w:val="002A4A01"/>
    <w:rsid w:val="004227FE"/>
    <w:rsid w:val="00477409"/>
    <w:rsid w:val="00630B54"/>
    <w:rsid w:val="00646B1B"/>
    <w:rsid w:val="006B6461"/>
    <w:rsid w:val="006F39D4"/>
    <w:rsid w:val="006F5CEC"/>
    <w:rsid w:val="0072228E"/>
    <w:rsid w:val="00960444"/>
    <w:rsid w:val="009B292E"/>
    <w:rsid w:val="009F1B18"/>
    <w:rsid w:val="00AC70E6"/>
    <w:rsid w:val="00B864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E4788E-5F1F-4F3E-8659-5F0297C8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F5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F5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CE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F5C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CEC"/>
    <w:pPr>
      <w:spacing w:before="100" w:beforeAutospacing="1" w:after="100" w:afterAutospacing="1" w:line="240" w:lineRule="auto"/>
    </w:pPr>
    <w:rPr>
      <w:rFonts w:ascii="Times New Roman" w:eastAsia="Times New Roman" w:hAnsi="Times New Roman" w:cs="Times New Roman"/>
      <w:sz w:val="24"/>
      <w:szCs w:val="24"/>
    </w:rPr>
  </w:style>
  <w:style w:type="paragraph" w:styleId="AdresseHTML">
    <w:name w:val="HTML Address"/>
    <w:basedOn w:val="Normal"/>
    <w:link w:val="AdresseHTMLCar"/>
    <w:uiPriority w:val="99"/>
    <w:semiHidden/>
    <w:unhideWhenUsed/>
    <w:rsid w:val="006F5CEC"/>
    <w:pPr>
      <w:spacing w:after="0" w:line="240" w:lineRule="auto"/>
    </w:pPr>
    <w:rPr>
      <w:rFonts w:ascii="Times New Roman" w:eastAsia="Times New Roman" w:hAnsi="Times New Roman" w:cs="Times New Roman"/>
      <w:i/>
      <w:iCs/>
      <w:sz w:val="24"/>
      <w:szCs w:val="24"/>
    </w:rPr>
  </w:style>
  <w:style w:type="character" w:customStyle="1" w:styleId="AdresseHTMLCar">
    <w:name w:val="Adresse HTML Car"/>
    <w:basedOn w:val="Policepardfaut"/>
    <w:link w:val="AdresseHTML"/>
    <w:uiPriority w:val="99"/>
    <w:semiHidden/>
    <w:rsid w:val="006F5CEC"/>
    <w:rPr>
      <w:rFonts w:ascii="Times New Roman" w:eastAsia="Times New Roman" w:hAnsi="Times New Roman" w:cs="Times New Roman"/>
      <w:i/>
      <w:iCs/>
      <w:sz w:val="24"/>
      <w:szCs w:val="24"/>
    </w:rPr>
  </w:style>
  <w:style w:type="character" w:styleId="Lienhypertexte">
    <w:name w:val="Hyperlink"/>
    <w:basedOn w:val="Policepardfaut"/>
    <w:uiPriority w:val="99"/>
    <w:semiHidden/>
    <w:unhideWhenUsed/>
    <w:rsid w:val="006F5CEC"/>
    <w:rPr>
      <w:color w:val="0000FF"/>
      <w:u w:val="single"/>
    </w:rPr>
  </w:style>
  <w:style w:type="character" w:customStyle="1" w:styleId="dcr-u0h1qy">
    <w:name w:val="dcr-u0h1qy"/>
    <w:basedOn w:val="Policepardfaut"/>
    <w:rsid w:val="006F5CEC"/>
  </w:style>
  <w:style w:type="paragraph" w:customStyle="1" w:styleId="dcr-1431toe">
    <w:name w:val="dcr-1431toe"/>
    <w:basedOn w:val="Normal"/>
    <w:rsid w:val="006F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1kas69x">
    <w:name w:val="dcr-1kas69x"/>
    <w:basedOn w:val="Normal"/>
    <w:rsid w:val="006F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1l45yn">
    <w:name w:val="dcr-11l45yn"/>
    <w:basedOn w:val="Policepardfaut"/>
    <w:rsid w:val="006F5CEC"/>
  </w:style>
  <w:style w:type="character" w:customStyle="1" w:styleId="dcr-1qvd3m6">
    <w:name w:val="dcr-1qvd3m6"/>
    <w:basedOn w:val="Policepardfaut"/>
    <w:rsid w:val="006F5CEC"/>
  </w:style>
  <w:style w:type="character" w:styleId="Accentuation">
    <w:name w:val="Emphasis"/>
    <w:basedOn w:val="Policepardfaut"/>
    <w:uiPriority w:val="20"/>
    <w:qFormat/>
    <w:rsid w:val="006F5CEC"/>
    <w:rPr>
      <w:i/>
      <w:iCs/>
    </w:rPr>
  </w:style>
  <w:style w:type="paragraph" w:styleId="En-tte">
    <w:name w:val="header"/>
    <w:basedOn w:val="Normal"/>
    <w:link w:val="En-tteCar"/>
    <w:uiPriority w:val="99"/>
    <w:unhideWhenUsed/>
    <w:rsid w:val="009F1B18"/>
    <w:pPr>
      <w:tabs>
        <w:tab w:val="center" w:pos="4536"/>
        <w:tab w:val="right" w:pos="9072"/>
      </w:tabs>
      <w:spacing w:after="0" w:line="240" w:lineRule="auto"/>
    </w:pPr>
  </w:style>
  <w:style w:type="character" w:customStyle="1" w:styleId="En-tteCar">
    <w:name w:val="En-tête Car"/>
    <w:basedOn w:val="Policepardfaut"/>
    <w:link w:val="En-tte"/>
    <w:uiPriority w:val="99"/>
    <w:rsid w:val="009F1B18"/>
  </w:style>
  <w:style w:type="paragraph" w:styleId="Pieddepage">
    <w:name w:val="footer"/>
    <w:basedOn w:val="Normal"/>
    <w:link w:val="PieddepageCar"/>
    <w:uiPriority w:val="99"/>
    <w:unhideWhenUsed/>
    <w:rsid w:val="009F1B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B18"/>
  </w:style>
  <w:style w:type="character" w:styleId="Numrodeligne">
    <w:name w:val="line number"/>
    <w:basedOn w:val="Policepardfaut"/>
    <w:uiPriority w:val="99"/>
    <w:semiHidden/>
    <w:unhideWhenUsed/>
    <w:rsid w:val="009F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23114">
      <w:bodyDiv w:val="1"/>
      <w:marLeft w:val="0"/>
      <w:marRight w:val="0"/>
      <w:marTop w:val="0"/>
      <w:marBottom w:val="0"/>
      <w:divBdr>
        <w:top w:val="none" w:sz="0" w:space="0" w:color="auto"/>
        <w:left w:val="none" w:sz="0" w:space="0" w:color="auto"/>
        <w:bottom w:val="none" w:sz="0" w:space="0" w:color="auto"/>
        <w:right w:val="none" w:sz="0" w:space="0" w:color="auto"/>
      </w:divBdr>
      <w:divsChild>
        <w:div w:id="783304505">
          <w:marLeft w:val="0"/>
          <w:marRight w:val="0"/>
          <w:marTop w:val="0"/>
          <w:marBottom w:val="0"/>
          <w:divBdr>
            <w:top w:val="none" w:sz="0" w:space="0" w:color="auto"/>
            <w:left w:val="none" w:sz="0" w:space="0" w:color="auto"/>
            <w:bottom w:val="none" w:sz="0" w:space="0" w:color="auto"/>
            <w:right w:val="none" w:sz="0" w:space="0" w:color="auto"/>
          </w:divBdr>
          <w:divsChild>
            <w:div w:id="823273819">
              <w:marLeft w:val="0"/>
              <w:marRight w:val="0"/>
              <w:marTop w:val="0"/>
              <w:marBottom w:val="0"/>
              <w:divBdr>
                <w:top w:val="none" w:sz="0" w:space="0" w:color="auto"/>
                <w:left w:val="none" w:sz="0" w:space="0" w:color="auto"/>
                <w:bottom w:val="none" w:sz="0" w:space="0" w:color="auto"/>
                <w:right w:val="none" w:sz="0" w:space="0" w:color="auto"/>
              </w:divBdr>
              <w:divsChild>
                <w:div w:id="13339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8797">
          <w:marLeft w:val="0"/>
          <w:marRight w:val="0"/>
          <w:marTop w:val="0"/>
          <w:marBottom w:val="0"/>
          <w:divBdr>
            <w:top w:val="none" w:sz="0" w:space="0" w:color="auto"/>
            <w:left w:val="none" w:sz="0" w:space="0" w:color="auto"/>
            <w:bottom w:val="none" w:sz="0" w:space="0" w:color="auto"/>
            <w:right w:val="none" w:sz="0" w:space="0" w:color="auto"/>
          </w:divBdr>
          <w:divsChild>
            <w:div w:id="1980111149">
              <w:marLeft w:val="0"/>
              <w:marRight w:val="0"/>
              <w:marTop w:val="0"/>
              <w:marBottom w:val="180"/>
              <w:divBdr>
                <w:top w:val="none" w:sz="0" w:space="0" w:color="auto"/>
                <w:left w:val="none" w:sz="0" w:space="0" w:color="auto"/>
                <w:bottom w:val="none" w:sz="0" w:space="0" w:color="auto"/>
                <w:right w:val="none" w:sz="0" w:space="0" w:color="auto"/>
              </w:divBdr>
            </w:div>
          </w:divsChild>
        </w:div>
        <w:div w:id="1850094753">
          <w:marLeft w:val="0"/>
          <w:marRight w:val="0"/>
          <w:marTop w:val="0"/>
          <w:marBottom w:val="0"/>
          <w:divBdr>
            <w:top w:val="none" w:sz="0" w:space="0" w:color="auto"/>
            <w:left w:val="none" w:sz="0" w:space="0" w:color="auto"/>
            <w:bottom w:val="none" w:sz="0" w:space="0" w:color="auto"/>
            <w:right w:val="none" w:sz="0" w:space="0" w:color="auto"/>
          </w:divBdr>
          <w:divsChild>
            <w:div w:id="1809203040">
              <w:marLeft w:val="0"/>
              <w:marRight w:val="0"/>
              <w:marTop w:val="0"/>
              <w:marBottom w:val="0"/>
              <w:divBdr>
                <w:top w:val="none" w:sz="0" w:space="0" w:color="auto"/>
                <w:left w:val="none" w:sz="0" w:space="0" w:color="auto"/>
                <w:bottom w:val="none" w:sz="0" w:space="0" w:color="auto"/>
                <w:right w:val="none" w:sz="0" w:space="0" w:color="auto"/>
              </w:divBdr>
              <w:divsChild>
                <w:div w:id="449937199">
                  <w:marLeft w:val="0"/>
                  <w:marRight w:val="0"/>
                  <w:marTop w:val="0"/>
                  <w:marBottom w:val="0"/>
                  <w:divBdr>
                    <w:top w:val="none" w:sz="0" w:space="0" w:color="auto"/>
                    <w:left w:val="none" w:sz="0" w:space="0" w:color="auto"/>
                    <w:bottom w:val="none" w:sz="0" w:space="0" w:color="auto"/>
                    <w:right w:val="none" w:sz="0" w:space="0" w:color="auto"/>
                  </w:divBdr>
                  <w:divsChild>
                    <w:div w:id="1433742924">
                      <w:marLeft w:val="0"/>
                      <w:marRight w:val="0"/>
                      <w:marTop w:val="0"/>
                      <w:marBottom w:val="0"/>
                      <w:divBdr>
                        <w:top w:val="none" w:sz="0" w:space="0" w:color="auto"/>
                        <w:left w:val="none" w:sz="0" w:space="0" w:color="auto"/>
                        <w:bottom w:val="none" w:sz="0" w:space="0" w:color="auto"/>
                        <w:right w:val="none" w:sz="0" w:space="0" w:color="auto"/>
                      </w:divBdr>
                      <w:divsChild>
                        <w:div w:id="588271777">
                          <w:marLeft w:val="0"/>
                          <w:marRight w:val="150"/>
                          <w:marTop w:val="90"/>
                          <w:marBottom w:val="180"/>
                          <w:divBdr>
                            <w:top w:val="none" w:sz="0" w:space="0" w:color="auto"/>
                            <w:left w:val="none" w:sz="0" w:space="0" w:color="auto"/>
                            <w:bottom w:val="none" w:sz="0" w:space="0" w:color="auto"/>
                            <w:right w:val="none" w:sz="0" w:space="0" w:color="auto"/>
                          </w:divBdr>
                        </w:div>
                        <w:div w:id="126166958">
                          <w:marLeft w:val="0"/>
                          <w:marRight w:val="0"/>
                          <w:marTop w:val="0"/>
                          <w:marBottom w:val="0"/>
                          <w:divBdr>
                            <w:top w:val="none" w:sz="0" w:space="0" w:color="auto"/>
                            <w:left w:val="none" w:sz="0" w:space="0" w:color="auto"/>
                            <w:bottom w:val="none" w:sz="0" w:space="0" w:color="auto"/>
                            <w:right w:val="none" w:sz="0" w:space="0" w:color="auto"/>
                          </w:divBdr>
                          <w:divsChild>
                            <w:div w:id="15120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7050">
                      <w:marLeft w:val="0"/>
                      <w:marRight w:val="0"/>
                      <w:marTop w:val="0"/>
                      <w:marBottom w:val="90"/>
                      <w:divBdr>
                        <w:top w:val="none" w:sz="0" w:space="0" w:color="auto"/>
                        <w:left w:val="none" w:sz="0" w:space="0" w:color="auto"/>
                        <w:bottom w:val="none" w:sz="0" w:space="0" w:color="auto"/>
                        <w:right w:val="none" w:sz="0" w:space="0" w:color="auto"/>
                      </w:divBdr>
                      <w:divsChild>
                        <w:div w:id="13178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3655">
          <w:marLeft w:val="0"/>
          <w:marRight w:val="0"/>
          <w:marTop w:val="0"/>
          <w:marBottom w:val="0"/>
          <w:divBdr>
            <w:top w:val="none" w:sz="0" w:space="0" w:color="auto"/>
            <w:left w:val="none" w:sz="0" w:space="0" w:color="auto"/>
            <w:bottom w:val="none" w:sz="0" w:space="0" w:color="auto"/>
            <w:right w:val="none" w:sz="0" w:space="0" w:color="auto"/>
          </w:divBdr>
          <w:divsChild>
            <w:div w:id="1387409495">
              <w:marLeft w:val="0"/>
              <w:marRight w:val="0"/>
              <w:marTop w:val="0"/>
              <w:marBottom w:val="0"/>
              <w:divBdr>
                <w:top w:val="none" w:sz="0" w:space="0" w:color="auto"/>
                <w:left w:val="none" w:sz="0" w:space="0" w:color="auto"/>
                <w:bottom w:val="none" w:sz="0" w:space="0" w:color="auto"/>
                <w:right w:val="none" w:sz="0" w:space="0" w:color="auto"/>
              </w:divBdr>
              <w:divsChild>
                <w:div w:id="417677602">
                  <w:marLeft w:val="0"/>
                  <w:marRight w:val="0"/>
                  <w:marTop w:val="0"/>
                  <w:marBottom w:val="0"/>
                  <w:divBdr>
                    <w:top w:val="none" w:sz="0" w:space="0" w:color="auto"/>
                    <w:left w:val="none" w:sz="0" w:space="0" w:color="auto"/>
                    <w:bottom w:val="none" w:sz="0" w:space="0" w:color="auto"/>
                    <w:right w:val="none" w:sz="0" w:space="0" w:color="auto"/>
                  </w:divBdr>
                  <w:divsChild>
                    <w:div w:id="273447271">
                      <w:marLeft w:val="0"/>
                      <w:marRight w:val="0"/>
                      <w:marTop w:val="0"/>
                      <w:marBottom w:val="0"/>
                      <w:divBdr>
                        <w:top w:val="none" w:sz="0" w:space="0" w:color="auto"/>
                        <w:left w:val="none" w:sz="0" w:space="0" w:color="auto"/>
                        <w:bottom w:val="none" w:sz="0" w:space="0" w:color="auto"/>
                        <w:right w:val="none" w:sz="0" w:space="0" w:color="auto"/>
                      </w:divBdr>
                      <w:divsChild>
                        <w:div w:id="156265761">
                          <w:marLeft w:val="0"/>
                          <w:marRight w:val="0"/>
                          <w:marTop w:val="0"/>
                          <w:marBottom w:val="0"/>
                          <w:divBdr>
                            <w:top w:val="none" w:sz="0" w:space="0" w:color="auto"/>
                            <w:left w:val="none" w:sz="0" w:space="0" w:color="auto"/>
                            <w:bottom w:val="none" w:sz="0" w:space="0" w:color="auto"/>
                            <w:right w:val="none" w:sz="0" w:space="0" w:color="auto"/>
                          </w:divBdr>
                        </w:div>
                        <w:div w:id="1156609749">
                          <w:marLeft w:val="0"/>
                          <w:marRight w:val="0"/>
                          <w:marTop w:val="0"/>
                          <w:marBottom w:val="0"/>
                          <w:divBdr>
                            <w:top w:val="none" w:sz="0" w:space="0" w:color="auto"/>
                            <w:left w:val="none" w:sz="0" w:space="0" w:color="auto"/>
                            <w:bottom w:val="none" w:sz="0" w:space="0" w:color="auto"/>
                            <w:right w:val="none" w:sz="0" w:space="0" w:color="auto"/>
                          </w:divBdr>
                        </w:div>
                        <w:div w:id="20413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guardian.com/world/2011/mar/17/japanese-earthquake-toll-ageing-population-death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2t2xxKMN-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ma.go.jp/jma/en/Activities/inttabl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guardian.com/world/japan-earthquake-and-tsunami" TargetMode="External"/><Relationship Id="rId4" Type="http://schemas.openxmlformats.org/officeDocument/2006/relationships/webSettings" Target="webSettings.xml"/><Relationship Id="rId9" Type="http://schemas.openxmlformats.org/officeDocument/2006/relationships/hyperlink" Target="https://www.theguardian.com/world/japa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866</Words>
  <Characters>4765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BOUGUIN-VASILJEVIC OLIVIER</dc:creator>
  <cp:keywords/>
  <dc:description/>
  <cp:lastModifiedBy>BOUGUIN-VASILJEVIC OLIVIER</cp:lastModifiedBy>
  <cp:revision>7</cp:revision>
  <dcterms:created xsi:type="dcterms:W3CDTF">2024-01-09T09:51:00Z</dcterms:created>
  <dcterms:modified xsi:type="dcterms:W3CDTF">2024-03-20T15:57:00Z</dcterms:modified>
</cp:coreProperties>
</file>