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0037A" w:rsidRPr="00E0037A" w:rsidRDefault="00E0037A" w:rsidP="00E0037A">
      <w:pPr>
        <w:rPr>
          <w:b/>
          <w:bCs/>
          <w:lang w:val="en-US"/>
        </w:rPr>
      </w:pPr>
      <w:r w:rsidRPr="00E0037A">
        <w:rPr>
          <w:b/>
          <w:bCs/>
          <w:lang w:val="en-US"/>
        </w:rPr>
        <w:t>Some EU countries use the eurozone as a credit card, with Germany picking up the tab – new research</w:t>
      </w:r>
    </w:p>
    <w:p w:rsidR="00E0037A" w:rsidRPr="00E0037A" w:rsidRDefault="00E0037A" w:rsidP="00E0037A">
      <w:proofErr w:type="gramStart"/>
      <w:r w:rsidRPr="00E0037A">
        <w:t>Publié:</w:t>
      </w:r>
      <w:proofErr w:type="gramEnd"/>
      <w:r w:rsidRPr="00E0037A">
        <w:t xml:space="preserve"> 31 janvier 2024, 19:29 CET</w:t>
      </w:r>
    </w:p>
    <w:p w:rsidR="00E0037A" w:rsidRPr="00E0037A" w:rsidRDefault="00E0037A" w:rsidP="00E0037A">
      <w:pPr>
        <w:rPr>
          <w:b/>
          <w:bCs/>
        </w:rPr>
      </w:pPr>
      <w:r w:rsidRPr="00E0037A">
        <w:rPr>
          <w:b/>
          <w:bCs/>
        </w:rPr>
        <w:t>Auteur</w:t>
      </w:r>
    </w:p>
    <w:p w:rsidR="00E0037A" w:rsidRPr="00E0037A" w:rsidRDefault="00E0037A" w:rsidP="00E0037A">
      <w:pPr>
        <w:numPr>
          <w:ilvl w:val="0"/>
          <w:numId w:val="1"/>
        </w:numPr>
      </w:pPr>
      <w:hyperlink r:id="rId5" w:history="1">
        <w:r w:rsidRPr="00E0037A">
          <w:rPr>
            <w:rStyle w:val="Lienhypertexte"/>
            <w:b/>
            <w:bCs/>
          </w:rPr>
          <w:fldChar w:fldCharType="begin"/>
        </w:r>
        <w:r w:rsidRPr="00E0037A">
          <w:rPr>
            <w:rStyle w:val="Lienhypertexte"/>
            <w:b/>
            <w:bCs/>
          </w:rPr>
          <w:instrText xml:space="preserve"> INCLUDEPICTURE "https://cdn.theconversation.com/avatars/408605/width170/575edd84b9419-davidblake.jpg" \* MERGEFORMATINET </w:instrText>
        </w:r>
        <w:r w:rsidRPr="00E0037A">
          <w:rPr>
            <w:rStyle w:val="Lienhypertexte"/>
            <w:b/>
            <w:bCs/>
          </w:rPr>
          <w:fldChar w:fldCharType="separate"/>
        </w:r>
        <w:r w:rsidRPr="00E0037A">
          <w:rPr>
            <w:rStyle w:val="Lienhypertexte"/>
            <w:b/>
            <w:bCs/>
            <w:noProof/>
          </w:rPr>
          <w:drawing>
            <wp:inline distT="0" distB="0" distL="0" distR="0">
              <wp:extent cx="2159000" cy="2159000"/>
              <wp:effectExtent l="0" t="0" r="0" b="0"/>
              <wp:docPr id="184440767" name="Image 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59000" cy="2159000"/>
                      </a:xfrm>
                      <a:prstGeom prst="rect">
                        <a:avLst/>
                      </a:prstGeom>
                      <a:noFill/>
                      <a:ln>
                        <a:noFill/>
                      </a:ln>
                    </pic:spPr>
                  </pic:pic>
                </a:graphicData>
              </a:graphic>
            </wp:inline>
          </w:drawing>
        </w:r>
        <w:r w:rsidRPr="00E0037A">
          <w:rPr>
            <w:rStyle w:val="Lienhypertexte"/>
          </w:rPr>
          <w:fldChar w:fldCharType="end"/>
        </w:r>
        <w:r w:rsidRPr="00E0037A">
          <w:rPr>
            <w:rStyle w:val="Lienhypertexte"/>
            <w:b/>
            <w:bCs/>
          </w:rPr>
          <w:t>David Blake</w:t>
        </w:r>
      </w:hyperlink>
    </w:p>
    <w:p w:rsidR="00E0037A" w:rsidRDefault="00E0037A" w:rsidP="00E0037A">
      <w:pPr>
        <w:rPr>
          <w:lang w:val="en-US"/>
        </w:rPr>
      </w:pPr>
      <w:r w:rsidRPr="004D3120">
        <w:rPr>
          <w:lang w:val="en-US"/>
        </w:rPr>
        <w:t>Professor of Finance &amp; Director of Pensions Institute, City St George's, University of London</w:t>
      </w:r>
    </w:p>
    <w:p w:rsidR="004D3120" w:rsidRPr="004D3120" w:rsidRDefault="004D3120" w:rsidP="00E0037A">
      <w:pPr>
        <w:rPr>
          <w:lang w:val="en-US"/>
        </w:rPr>
      </w:pPr>
    </w:p>
    <w:p w:rsidR="00E0037A" w:rsidRPr="004D3120" w:rsidRDefault="00E0037A" w:rsidP="00E0037A">
      <w:pPr>
        <w:rPr>
          <w:lang w:val="en-US"/>
        </w:rPr>
      </w:pPr>
      <w:r w:rsidRPr="004D3120">
        <w:rPr>
          <w:lang w:val="en-US"/>
        </w:rPr>
        <w:t>Europe is home to many languages, varied geography and different cultures. And until fairly recently, it was also a place where almost every country had its own currency.</w:t>
      </w:r>
    </w:p>
    <w:p w:rsidR="00E0037A" w:rsidRPr="004D3120" w:rsidRDefault="00E0037A" w:rsidP="00E0037A">
      <w:pPr>
        <w:rPr>
          <w:lang w:val="en-US"/>
        </w:rPr>
      </w:pPr>
      <w:r w:rsidRPr="004D3120">
        <w:rPr>
          <w:lang w:val="en-US"/>
        </w:rPr>
        <w:t>The </w:t>
      </w:r>
      <w:hyperlink r:id="rId7" w:history="1">
        <w:r w:rsidRPr="004D3120">
          <w:rPr>
            <w:rStyle w:val="Lienhypertexte"/>
            <w:lang w:val="en-US"/>
          </w:rPr>
          <w:t>arrival of a common currency</w:t>
        </w:r>
      </w:hyperlink>
      <w:r w:rsidRPr="004D3120">
        <w:rPr>
          <w:lang w:val="en-US"/>
        </w:rPr>
        <w:t> in 1999 changed all that. Now </w:t>
      </w:r>
      <w:hyperlink r:id="rId8" w:history="1">
        <w:r w:rsidRPr="004D3120">
          <w:rPr>
            <w:rStyle w:val="Lienhypertexte"/>
            <w:lang w:val="en-US"/>
          </w:rPr>
          <w:t>344 million citizens</w:t>
        </w:r>
      </w:hyperlink>
      <w:r w:rsidRPr="004D3120">
        <w:rPr>
          <w:lang w:val="en-US"/>
        </w:rPr>
        <w:t> in 20 of the 27 EU member states use the euro, making it the world’s second most used international currency after the US dollar. </w:t>
      </w:r>
    </w:p>
    <w:p w:rsidR="00E0037A" w:rsidRPr="004D3120" w:rsidRDefault="00E0037A" w:rsidP="00E0037A">
      <w:pPr>
        <w:rPr>
          <w:lang w:val="en-US"/>
        </w:rPr>
      </w:pPr>
      <w:r w:rsidRPr="004D3120">
        <w:rPr>
          <w:lang w:val="en-US"/>
        </w:rPr>
        <w:t>One purpose of the euro is to simplify cross-border payment transfers between eurozone member states. This is achieved </w:t>
      </w:r>
      <w:hyperlink r:id="rId9" w:history="1">
        <w:r w:rsidRPr="004D3120">
          <w:rPr>
            <w:rStyle w:val="Lienhypertexte"/>
            <w:lang w:val="en-US"/>
          </w:rPr>
          <w:t>using a system</w:t>
        </w:r>
      </w:hyperlink>
      <w:r w:rsidRPr="004D3120">
        <w:rPr>
          <w:lang w:val="en-US"/>
        </w:rPr>
        <w:t> called “Target 2” (T2) which settles private sector bank-to-bank and commercial transactions between EU countries. </w:t>
      </w:r>
    </w:p>
    <w:p w:rsidR="00E0037A" w:rsidRDefault="00E0037A" w:rsidP="00E0037A">
      <w:pPr>
        <w:rPr>
          <w:lang w:val="en-US"/>
        </w:rPr>
      </w:pPr>
      <w:r w:rsidRPr="004D3120">
        <w:rPr>
          <w:lang w:val="en-US"/>
        </w:rPr>
        <w:t>However, </w:t>
      </w:r>
      <w:hyperlink r:id="rId10" w:history="1">
        <w:r w:rsidRPr="004D3120">
          <w:rPr>
            <w:rStyle w:val="Lienhypertexte"/>
            <w:lang w:val="en-US"/>
          </w:rPr>
          <w:t>my research</w:t>
        </w:r>
      </w:hyperlink>
      <w:r w:rsidRPr="004D3120">
        <w:rPr>
          <w:lang w:val="en-US"/>
        </w:rPr>
        <w:t> shows that this apparently innocuous settlement system is effectively being used to save the eurozone from imploding. </w:t>
      </w:r>
    </w:p>
    <w:p w:rsidR="004D3120" w:rsidRPr="004D3120" w:rsidRDefault="004D3120" w:rsidP="00E0037A">
      <w:pPr>
        <w:rPr>
          <w:lang w:val="en-US"/>
        </w:rPr>
      </w:pPr>
    </w:p>
    <w:p w:rsidR="00E0037A" w:rsidRPr="004D3120" w:rsidRDefault="00E0037A" w:rsidP="00E0037A">
      <w:pPr>
        <w:rPr>
          <w:lang w:val="en-US"/>
        </w:rPr>
      </w:pPr>
      <w:r w:rsidRPr="004D3120">
        <w:rPr>
          <w:lang w:val="en-US"/>
        </w:rPr>
        <w:t>The problem is that some eurozone members – Italy and Spain, for example – import much more from other members than they export, particularly from Germany, the economic engine that has kept the eurozone economies going since 1999. </w:t>
      </w:r>
    </w:p>
    <w:p w:rsidR="00E0037A" w:rsidRPr="004D3120" w:rsidRDefault="00E0037A" w:rsidP="00E0037A">
      <w:pPr>
        <w:rPr>
          <w:lang w:val="en-US"/>
        </w:rPr>
      </w:pPr>
      <w:r w:rsidRPr="004D3120">
        <w:rPr>
          <w:lang w:val="en-US"/>
        </w:rPr>
        <w:t>This results in a trade deficit, also known as a negative balance of trade. And this in turn creates a debt owed by Italy and Spain to Germany. </w:t>
      </w:r>
    </w:p>
    <w:p w:rsidR="00E0037A" w:rsidRDefault="00E0037A" w:rsidP="00E0037A">
      <w:pPr>
        <w:rPr>
          <w:lang w:val="en-US"/>
        </w:rPr>
      </w:pPr>
      <w:r w:rsidRPr="004D3120">
        <w:rPr>
          <w:lang w:val="en-US"/>
        </w:rPr>
        <w:t xml:space="preserve">Luckily for them though, T2 converts this potentially risky debt into an apparently risk-free loan owed by the central banks of Italy and Spain to the central bank of Germany. The trouble is that there is no legal requirement in T2 to ever pay </w:t>
      </w:r>
      <w:proofErr w:type="spellStart"/>
      <w:r w:rsidRPr="004D3120">
        <w:rPr>
          <w:lang w:val="en-US"/>
        </w:rPr>
        <w:t>ot</w:t>
      </w:r>
      <w:proofErr w:type="spellEnd"/>
      <w:r w:rsidRPr="004D3120">
        <w:rPr>
          <w:lang w:val="en-US"/>
        </w:rPr>
        <w:t xml:space="preserve"> back. </w:t>
      </w:r>
    </w:p>
    <w:p w:rsidR="004D3120" w:rsidRPr="004D3120" w:rsidRDefault="004D3120" w:rsidP="00E0037A">
      <w:pPr>
        <w:rPr>
          <w:lang w:val="en-US"/>
        </w:rPr>
      </w:pPr>
    </w:p>
    <w:p w:rsidR="00E0037A" w:rsidRPr="004D3120" w:rsidRDefault="00E0037A" w:rsidP="00E0037A">
      <w:pPr>
        <w:rPr>
          <w:b/>
          <w:bCs/>
          <w:lang w:val="en-US"/>
        </w:rPr>
      </w:pPr>
      <w:r w:rsidRPr="004D3120">
        <w:rPr>
          <w:b/>
          <w:bCs/>
          <w:lang w:val="en-US"/>
        </w:rPr>
        <w:t>United in debt?</w:t>
      </w:r>
    </w:p>
    <w:p w:rsidR="00E0037A" w:rsidRPr="004D3120" w:rsidRDefault="00E0037A" w:rsidP="00E0037A">
      <w:pPr>
        <w:rPr>
          <w:lang w:val="en-US"/>
        </w:rPr>
      </w:pPr>
      <w:r w:rsidRPr="004D3120">
        <w:rPr>
          <w:lang w:val="en-US"/>
        </w:rPr>
        <w:t>Part of the reason for this imbalance is that the eurozone </w:t>
      </w:r>
      <w:hyperlink r:id="rId11" w:history="1">
        <w:r w:rsidRPr="004D3120">
          <w:rPr>
            <w:rStyle w:val="Lienhypertexte"/>
            <w:lang w:val="en-US"/>
          </w:rPr>
          <w:t>does not satisfy</w:t>
        </w:r>
      </w:hyperlink>
      <w:r w:rsidRPr="004D3120">
        <w:rPr>
          <w:lang w:val="en-US"/>
        </w:rPr>
        <w:t> the economic conditions for being an “optimal currency area” (OCA) – that is, a geographical area over which a single currency and monetary policy can operate on a long term basis (in contrast to the UK and US, for example).</w:t>
      </w:r>
    </w:p>
    <w:p w:rsidR="00E0037A" w:rsidRPr="004D3120" w:rsidRDefault="00E0037A" w:rsidP="00E0037A">
      <w:pPr>
        <w:rPr>
          <w:lang w:val="en-US"/>
        </w:rPr>
      </w:pPr>
      <w:r w:rsidRPr="004D3120">
        <w:rPr>
          <w:lang w:val="en-US"/>
        </w:rPr>
        <w:t>The different business cycles within the eurozone (with some countries booming economically, while others are in a slump) mean that trade surpluses and deficits will build up because inter-regional exchange rates can no longer be changed. </w:t>
      </w:r>
    </w:p>
    <w:p w:rsidR="00E0037A" w:rsidRPr="004D3120" w:rsidRDefault="00E0037A" w:rsidP="00E0037A">
      <w:pPr>
        <w:rPr>
          <w:lang w:val="en-US"/>
        </w:rPr>
      </w:pPr>
      <w:r w:rsidRPr="004D3120">
        <w:rPr>
          <w:lang w:val="en-US"/>
        </w:rPr>
        <w:lastRenderedPageBreak/>
        <w:t>The normal way for a country to deal with a trade deficit is to devalue its currency, but this is not possible in the eurozone, since exchange rates between members were fixed in perpetuity in 1999. The most economically efficient countries, like Germany, accrue surpluses, while the more inefficient countries, like Italy and Spain, build up deficits. </w:t>
      </w:r>
    </w:p>
    <w:p w:rsidR="00E0037A" w:rsidRPr="004D3120" w:rsidRDefault="00E0037A" w:rsidP="00E0037A">
      <w:pPr>
        <w:rPr>
          <w:lang w:val="en-US"/>
        </w:rPr>
      </w:pPr>
      <w:r w:rsidRPr="004D3120">
        <w:rPr>
          <w:lang w:val="en-US"/>
        </w:rPr>
        <w:t>To rectify this, surplus regions would have to recycle their surpluses back into deficit regions via transfers to keep the eurozone economies in balance. This is what happens in OCAs like the UK when the national government transfers tax revenues collected in England to Scotland, Wales and Northern Ireland to correct regional imbalances. </w:t>
      </w:r>
    </w:p>
    <w:p w:rsidR="00E0037A" w:rsidRPr="004D3120" w:rsidRDefault="00E0037A" w:rsidP="00E0037A">
      <w:pPr>
        <w:rPr>
          <w:lang w:val="en-US"/>
        </w:rPr>
      </w:pPr>
      <w:r w:rsidRPr="004D3120">
        <w:rPr>
          <w:lang w:val="en-US"/>
        </w:rPr>
        <w:t>But the largest surplus country in the eurozone, Germany, </w:t>
      </w:r>
      <w:hyperlink r:id="rId12" w:history="1">
        <w:r w:rsidRPr="004D3120">
          <w:rPr>
            <w:rStyle w:val="Lienhypertexte"/>
            <w:lang w:val="en-US"/>
          </w:rPr>
          <w:t>refuses to accept</w:t>
        </w:r>
      </w:hyperlink>
      <w:r w:rsidRPr="004D3120">
        <w:rPr>
          <w:lang w:val="en-US"/>
        </w:rPr>
        <w:t> that the EU is a “transfer union”. This is because the eurozone was set up on the explicit basis that market forces, not fiscal transfers, would be used to remove productivity differences between member states – and Germany was determined that it would not cross-</w:t>
      </w:r>
      <w:proofErr w:type="spellStart"/>
      <w:r w:rsidRPr="004D3120">
        <w:rPr>
          <w:lang w:val="en-US"/>
        </w:rPr>
        <w:t>subsidise</w:t>
      </w:r>
      <w:proofErr w:type="spellEnd"/>
      <w:r w:rsidRPr="004D3120">
        <w:rPr>
          <w:lang w:val="en-US"/>
        </w:rPr>
        <w:t xml:space="preserve"> inefficient members. </w:t>
      </w:r>
    </w:p>
    <w:p w:rsidR="00E0037A" w:rsidRDefault="00E0037A" w:rsidP="00E0037A">
      <w:pPr>
        <w:rPr>
          <w:lang w:val="en-US"/>
        </w:rPr>
      </w:pPr>
      <w:r w:rsidRPr="004D3120">
        <w:rPr>
          <w:lang w:val="en-US"/>
        </w:rPr>
        <w:t>Yet deficit countries, including Italy and Spain, are using T2 for this very purpose. For them, T2 has effectively become a giant credit card. But unlike a regular credit card, neither the debt nor the interest that accrues on the debt ever needs to be repaid. </w:t>
      </w:r>
    </w:p>
    <w:p w:rsidR="004D3120" w:rsidRPr="004D3120" w:rsidRDefault="004D3120" w:rsidP="00E0037A">
      <w:pPr>
        <w:rPr>
          <w:lang w:val="en-US"/>
        </w:rPr>
      </w:pPr>
    </w:p>
    <w:p w:rsidR="00E0037A" w:rsidRPr="004D3120" w:rsidRDefault="00E0037A" w:rsidP="00E0037A">
      <w:pPr>
        <w:rPr>
          <w:b/>
          <w:bCs/>
          <w:lang w:val="en-US"/>
        </w:rPr>
      </w:pPr>
      <w:r w:rsidRPr="004D3120">
        <w:rPr>
          <w:b/>
          <w:bCs/>
          <w:lang w:val="en-US"/>
        </w:rPr>
        <w:t>Silent European debt mountain</w:t>
      </w:r>
    </w:p>
    <w:p w:rsidR="00E0037A" w:rsidRPr="004D3120" w:rsidRDefault="00E0037A" w:rsidP="00E0037A">
      <w:pPr>
        <w:rPr>
          <w:lang w:val="en-US"/>
        </w:rPr>
      </w:pPr>
      <w:r w:rsidRPr="004D3120">
        <w:rPr>
          <w:lang w:val="en-US"/>
        </w:rPr>
        <w:t>My research also shows that the size of the deficits being built up is causing citizens in those countries to lose confidence in their banking systems, leading them to transfer their funds to banks in surplus countries. T2 is being used to </w:t>
      </w:r>
      <w:hyperlink r:id="rId13" w:history="1">
        <w:r w:rsidRPr="004D3120">
          <w:rPr>
            <w:rStyle w:val="Lienhypertexte"/>
            <w:lang w:val="en-US"/>
          </w:rPr>
          <w:t xml:space="preserve">facilitate this capital </w:t>
        </w:r>
        <w:proofErr w:type="spellStart"/>
        <w:r w:rsidRPr="004D3120">
          <w:rPr>
            <w:rStyle w:val="Lienhypertexte"/>
            <w:lang w:val="en-US"/>
          </w:rPr>
          <w:t>flight</w:t>
        </w:r>
      </w:hyperlink>
      <w:r w:rsidRPr="004D3120">
        <w:rPr>
          <w:lang w:val="en-US"/>
        </w:rPr>
        <w:t>to</w:t>
      </w:r>
      <w:proofErr w:type="spellEnd"/>
      <w:r w:rsidRPr="004D3120">
        <w:rPr>
          <w:lang w:val="en-US"/>
        </w:rPr>
        <w:t xml:space="preserve"> Germany, the Netherlands and Luxembourg.</w:t>
      </w:r>
    </w:p>
    <w:p w:rsidR="00E0037A" w:rsidRPr="00E0037A" w:rsidRDefault="00E0037A" w:rsidP="00E0037A">
      <w:r w:rsidRPr="00E0037A">
        <w:fldChar w:fldCharType="begin"/>
      </w:r>
      <w:r w:rsidRPr="00E0037A">
        <w:instrText xml:space="preserve"> INCLUDEPICTURE "https://images.theconversation.com/files/572301/original/file-20240130-19-vbdy3h.jpg?ixlib=rb-4.1.0&amp;q=45&amp;auto=format&amp;w=754&amp;fit=clip" \* MERGEFORMATINET </w:instrText>
      </w:r>
      <w:r w:rsidRPr="00E0037A">
        <w:fldChar w:fldCharType="separate"/>
      </w:r>
      <w:r w:rsidRPr="00E0037A">
        <w:rPr>
          <w:noProof/>
        </w:rPr>
        <w:drawing>
          <wp:inline distT="0" distB="0" distL="0" distR="0">
            <wp:extent cx="5760720" cy="3843020"/>
            <wp:effectExtent l="0" t="0" r="5080" b="5080"/>
            <wp:docPr id="966425894" name="Image 5" descr="Large blue euro sign in front of skyscra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Large blue euro sign in front of skyscrap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3843020"/>
                    </a:xfrm>
                    <a:prstGeom prst="rect">
                      <a:avLst/>
                    </a:prstGeom>
                    <a:noFill/>
                    <a:ln>
                      <a:noFill/>
                    </a:ln>
                  </pic:spPr>
                </pic:pic>
              </a:graphicData>
            </a:graphic>
          </wp:inline>
        </w:drawing>
      </w:r>
      <w:r w:rsidRPr="00E0037A">
        <w:fldChar w:fldCharType="end"/>
      </w:r>
    </w:p>
    <w:p w:rsidR="00E0037A" w:rsidRPr="004D3120" w:rsidRDefault="00E0037A" w:rsidP="00E0037A">
      <w:pPr>
        <w:rPr>
          <w:lang w:val="en-US"/>
        </w:rPr>
      </w:pPr>
      <w:r w:rsidRPr="004D3120">
        <w:rPr>
          <w:lang w:val="en-US"/>
        </w:rPr>
        <w:t>European Central Bank HQ is in Frankfurt, Germany. </w:t>
      </w:r>
      <w:hyperlink r:id="rId15" w:history="1">
        <w:r w:rsidRPr="004D3120">
          <w:rPr>
            <w:rStyle w:val="Lienhypertexte"/>
            <w:lang w:val="en-US"/>
          </w:rPr>
          <w:t xml:space="preserve">Yavuz </w:t>
        </w:r>
        <w:proofErr w:type="spellStart"/>
        <w:r w:rsidRPr="004D3120">
          <w:rPr>
            <w:rStyle w:val="Lienhypertexte"/>
            <w:lang w:val="en-US"/>
          </w:rPr>
          <w:t>Meyveci</w:t>
        </w:r>
        <w:proofErr w:type="spellEnd"/>
        <w:r w:rsidRPr="004D3120">
          <w:rPr>
            <w:rStyle w:val="Lienhypertexte"/>
            <w:lang w:val="en-US"/>
          </w:rPr>
          <w:t>/Shutterstock</w:t>
        </w:r>
      </w:hyperlink>
    </w:p>
    <w:p w:rsidR="00E0037A" w:rsidRPr="004D3120" w:rsidRDefault="00E0037A" w:rsidP="00E0037A">
      <w:pPr>
        <w:rPr>
          <w:lang w:val="en-US"/>
        </w:rPr>
      </w:pPr>
      <w:r w:rsidRPr="004D3120">
        <w:rPr>
          <w:lang w:val="en-US"/>
        </w:rPr>
        <w:t xml:space="preserve">Then there is the fact that no member state individually controls the European Central Bank. This implies that they do not (and cannot) stand behind their government debts or currency in the way genuine sovereign nations do – by printing more money to repay their debts when </w:t>
      </w:r>
      <w:r w:rsidRPr="004D3120">
        <w:rPr>
          <w:lang w:val="en-US"/>
        </w:rPr>
        <w:lastRenderedPageBreak/>
        <w:t>their tax base proves to be insufficient. Eurozone member states are therefore “sub-sovereign” states, since they are effectively using a “foreign currency”. </w:t>
      </w:r>
    </w:p>
    <w:p w:rsidR="00E0037A" w:rsidRPr="004D3120" w:rsidRDefault="00E0037A" w:rsidP="00E0037A">
      <w:pPr>
        <w:rPr>
          <w:lang w:val="en-US"/>
        </w:rPr>
      </w:pPr>
      <w:r w:rsidRPr="004D3120">
        <w:rPr>
          <w:lang w:val="en-US"/>
        </w:rPr>
        <w:t>The present situation is not viable in the long term. And my research suggests only two realistic outcomes. </w:t>
      </w:r>
    </w:p>
    <w:p w:rsidR="00E0037A" w:rsidRPr="004D3120" w:rsidRDefault="00E0037A" w:rsidP="00E0037A">
      <w:pPr>
        <w:rPr>
          <w:lang w:val="en-US"/>
        </w:rPr>
      </w:pPr>
      <w:r w:rsidRPr="004D3120">
        <w:rPr>
          <w:lang w:val="en-US"/>
        </w:rPr>
        <w:t>The first is a full fiscal and political union, with Brussels determining the levels of tax and public spending in each member state. The second is that the eurozone breaks up. Either way, it will cost German taxpayers well over €1 trillion (£854 billion). </w:t>
      </w:r>
    </w:p>
    <w:p w:rsidR="00E0037A" w:rsidRPr="004D3120" w:rsidRDefault="00E0037A" w:rsidP="00E0037A">
      <w:pPr>
        <w:rPr>
          <w:lang w:val="en-US"/>
        </w:rPr>
      </w:pPr>
      <w:r w:rsidRPr="004D3120">
        <w:rPr>
          <w:lang w:val="en-US"/>
        </w:rPr>
        <w:t>The current </w:t>
      </w:r>
      <w:hyperlink r:id="rId16" w:history="1">
        <w:r w:rsidRPr="004D3120">
          <w:rPr>
            <w:rStyle w:val="Lienhypertexte"/>
            <w:lang w:val="en-US"/>
          </w:rPr>
          <w:t>faltering of the German economy</w:t>
        </w:r>
      </w:hyperlink>
      <w:r w:rsidRPr="004D3120">
        <w:rPr>
          <w:lang w:val="en-US"/>
        </w:rPr>
        <w:t> – in part, due to the massive increase in energy costs following the Russian invasion of Ukraine and, in part, due to China </w:t>
      </w:r>
      <w:hyperlink r:id="rId17" w:history="1">
        <w:r w:rsidRPr="004D3120">
          <w:rPr>
            <w:rStyle w:val="Lienhypertexte"/>
            <w:lang w:val="en-US"/>
          </w:rPr>
          <w:t xml:space="preserve">no longer </w:t>
        </w:r>
        <w:proofErr w:type="spellStart"/>
        <w:r w:rsidRPr="004D3120">
          <w:rPr>
            <w:rStyle w:val="Lienhypertexte"/>
            <w:lang w:val="en-US"/>
          </w:rPr>
          <w:t>needing</w:t>
        </w:r>
      </w:hyperlink>
      <w:r w:rsidRPr="004D3120">
        <w:rPr>
          <w:lang w:val="en-US"/>
        </w:rPr>
        <w:t>German</w:t>
      </w:r>
      <w:proofErr w:type="spellEnd"/>
      <w:r w:rsidRPr="004D3120">
        <w:rPr>
          <w:lang w:val="en-US"/>
        </w:rPr>
        <w:t xml:space="preserve"> machine tools for its factories – could mean that Germany does eventually capitulate to </w:t>
      </w:r>
      <w:hyperlink r:id="rId18" w:history="1">
        <w:r w:rsidRPr="004D3120">
          <w:rPr>
            <w:rStyle w:val="Lienhypertexte"/>
            <w:lang w:val="en-US"/>
          </w:rPr>
          <w:t>French demands</w:t>
        </w:r>
      </w:hyperlink>
      <w:r w:rsidRPr="004D3120">
        <w:rPr>
          <w:lang w:val="en-US"/>
        </w:rPr>
        <w:t> for fiscal and political union. </w:t>
      </w:r>
    </w:p>
    <w:p w:rsidR="00E0037A" w:rsidRPr="004D3120" w:rsidRDefault="00E0037A" w:rsidP="00E0037A">
      <w:pPr>
        <w:rPr>
          <w:lang w:val="en-US"/>
        </w:rPr>
      </w:pPr>
      <w:r w:rsidRPr="004D3120">
        <w:rPr>
          <w:lang w:val="en-US"/>
        </w:rPr>
        <w:t xml:space="preserve">But if it does, it will be a union based on the protectionist model </w:t>
      </w:r>
      <w:proofErr w:type="spellStart"/>
      <w:r w:rsidRPr="004D3120">
        <w:rPr>
          <w:lang w:val="en-US"/>
        </w:rPr>
        <w:t>favoured</w:t>
      </w:r>
      <w:proofErr w:type="spellEnd"/>
      <w:r w:rsidRPr="004D3120">
        <w:rPr>
          <w:lang w:val="en-US"/>
        </w:rPr>
        <w:t xml:space="preserve"> by France, with much greater state intervention and regulation in the economy and with large state subsidies for </w:t>
      </w:r>
      <w:proofErr w:type="spellStart"/>
      <w:r w:rsidRPr="004D3120">
        <w:rPr>
          <w:lang w:val="en-US"/>
        </w:rPr>
        <w:t>favoured</w:t>
      </w:r>
      <w:proofErr w:type="spellEnd"/>
      <w:r w:rsidRPr="004D3120">
        <w:rPr>
          <w:lang w:val="en-US"/>
        </w:rPr>
        <w:t xml:space="preserve"> sectors and firms. </w:t>
      </w:r>
    </w:p>
    <w:p w:rsidR="00E0037A" w:rsidRPr="004D3120" w:rsidRDefault="00E0037A" w:rsidP="00E0037A">
      <w:pPr>
        <w:rPr>
          <w:lang w:val="en-US"/>
        </w:rPr>
      </w:pPr>
      <w:r w:rsidRPr="004D3120">
        <w:rPr>
          <w:lang w:val="en-US"/>
        </w:rPr>
        <w:t>This is very different from the “ordoliberal” (or “ordered liberal”) model preferred by Germany which supports free markets but seeks to prevent powerful private interests from undermining competition. </w:t>
      </w:r>
    </w:p>
    <w:p w:rsidR="00E0037A" w:rsidRPr="004D3120" w:rsidRDefault="00E0037A" w:rsidP="00E0037A">
      <w:pPr>
        <w:rPr>
          <w:lang w:val="en-US"/>
        </w:rPr>
      </w:pPr>
      <w:r w:rsidRPr="004D3120">
        <w:rPr>
          <w:lang w:val="en-US"/>
        </w:rPr>
        <w:t>However, there are no examples in history where a country – let alone a continent – has regulated its way to economic success. For now, T2 is the silent bailout system that people rarely talk about – but upon which the very survival of the euro depends.</w:t>
      </w:r>
    </w:p>
    <w:p w:rsidR="00E0037A" w:rsidRPr="004D3120" w:rsidRDefault="00E0037A">
      <w:pPr>
        <w:rPr>
          <w:lang w:val="en-US"/>
        </w:rPr>
      </w:pPr>
    </w:p>
    <w:sectPr w:rsidR="00E0037A" w:rsidRPr="004D31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97362D"/>
    <w:multiLevelType w:val="multilevel"/>
    <w:tmpl w:val="5BCC3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27260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37A"/>
    <w:rsid w:val="004D3120"/>
    <w:rsid w:val="009F253E"/>
    <w:rsid w:val="00A90B9B"/>
    <w:rsid w:val="00E003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1EEC32D3"/>
  <w15:chartTrackingRefBased/>
  <w15:docId w15:val="{49DA212B-F77D-854A-BCBE-A4BCB8492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E0037A"/>
    <w:rPr>
      <w:color w:val="0563C1" w:themeColor="hyperlink"/>
      <w:u w:val="single"/>
    </w:rPr>
  </w:style>
  <w:style w:type="character" w:styleId="Mentionnonrsolue">
    <w:name w:val="Unresolved Mention"/>
    <w:basedOn w:val="Policepardfaut"/>
    <w:uiPriority w:val="99"/>
    <w:semiHidden/>
    <w:unhideWhenUsed/>
    <w:rsid w:val="00E003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9568487">
      <w:bodyDiv w:val="1"/>
      <w:marLeft w:val="0"/>
      <w:marRight w:val="0"/>
      <w:marTop w:val="0"/>
      <w:marBottom w:val="0"/>
      <w:divBdr>
        <w:top w:val="none" w:sz="0" w:space="0" w:color="auto"/>
        <w:left w:val="none" w:sz="0" w:space="0" w:color="auto"/>
        <w:bottom w:val="none" w:sz="0" w:space="0" w:color="auto"/>
        <w:right w:val="none" w:sz="0" w:space="0" w:color="auto"/>
      </w:divBdr>
      <w:divsChild>
        <w:div w:id="74595858">
          <w:marLeft w:val="0"/>
          <w:marRight w:val="0"/>
          <w:marTop w:val="0"/>
          <w:marBottom w:val="0"/>
          <w:divBdr>
            <w:top w:val="none" w:sz="0" w:space="0" w:color="auto"/>
            <w:left w:val="none" w:sz="0" w:space="0" w:color="auto"/>
            <w:bottom w:val="none" w:sz="0" w:space="0" w:color="auto"/>
            <w:right w:val="none" w:sz="0" w:space="0" w:color="auto"/>
          </w:divBdr>
          <w:divsChild>
            <w:div w:id="797987659">
              <w:marLeft w:val="0"/>
              <w:marRight w:val="0"/>
              <w:marTop w:val="0"/>
              <w:marBottom w:val="0"/>
              <w:divBdr>
                <w:top w:val="none" w:sz="0" w:space="0" w:color="auto"/>
                <w:left w:val="none" w:sz="0" w:space="0" w:color="auto"/>
                <w:bottom w:val="none" w:sz="0" w:space="0" w:color="auto"/>
                <w:right w:val="none" w:sz="0" w:space="0" w:color="auto"/>
              </w:divBdr>
              <w:divsChild>
                <w:div w:id="42877657">
                  <w:marLeft w:val="0"/>
                  <w:marRight w:val="0"/>
                  <w:marTop w:val="0"/>
                  <w:marBottom w:val="0"/>
                  <w:divBdr>
                    <w:top w:val="none" w:sz="0" w:space="0" w:color="auto"/>
                    <w:left w:val="none" w:sz="0" w:space="0" w:color="auto"/>
                    <w:bottom w:val="none" w:sz="0" w:space="0" w:color="auto"/>
                    <w:right w:val="none" w:sz="0" w:space="0" w:color="auto"/>
                  </w:divBdr>
                  <w:divsChild>
                    <w:div w:id="1599947314">
                      <w:marLeft w:val="0"/>
                      <w:marRight w:val="0"/>
                      <w:marTop w:val="0"/>
                      <w:marBottom w:val="0"/>
                      <w:divBdr>
                        <w:top w:val="none" w:sz="0" w:space="0" w:color="auto"/>
                        <w:left w:val="single" w:sz="48" w:space="0" w:color="auto"/>
                        <w:bottom w:val="none" w:sz="0" w:space="0" w:color="auto"/>
                        <w:right w:val="none" w:sz="0" w:space="0" w:color="auto"/>
                      </w:divBdr>
                    </w:div>
                  </w:divsChild>
                </w:div>
                <w:div w:id="60392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098754">
          <w:marLeft w:val="0"/>
          <w:marRight w:val="0"/>
          <w:marTop w:val="0"/>
          <w:marBottom w:val="0"/>
          <w:divBdr>
            <w:top w:val="none" w:sz="0" w:space="0" w:color="auto"/>
            <w:left w:val="none" w:sz="0" w:space="0" w:color="auto"/>
            <w:bottom w:val="none" w:sz="0" w:space="0" w:color="auto"/>
            <w:right w:val="none" w:sz="0" w:space="0" w:color="auto"/>
          </w:divBdr>
          <w:divsChild>
            <w:div w:id="416948127">
              <w:marLeft w:val="0"/>
              <w:marRight w:val="0"/>
              <w:marTop w:val="0"/>
              <w:marBottom w:val="900"/>
              <w:divBdr>
                <w:top w:val="none" w:sz="0" w:space="0" w:color="auto"/>
                <w:left w:val="none" w:sz="0" w:space="0" w:color="auto"/>
                <w:bottom w:val="none" w:sz="0" w:space="0" w:color="auto"/>
                <w:right w:val="none" w:sz="0" w:space="0" w:color="auto"/>
              </w:divBdr>
              <w:divsChild>
                <w:div w:id="293753761">
                  <w:marLeft w:val="0"/>
                  <w:marRight w:val="0"/>
                  <w:marTop w:val="0"/>
                  <w:marBottom w:val="540"/>
                  <w:divBdr>
                    <w:top w:val="none" w:sz="0" w:space="0" w:color="auto"/>
                    <w:left w:val="none" w:sz="0" w:space="0" w:color="auto"/>
                    <w:bottom w:val="none" w:sz="0" w:space="0" w:color="auto"/>
                    <w:right w:val="none" w:sz="0" w:space="0" w:color="auto"/>
                  </w:divBdr>
                </w:div>
                <w:div w:id="1366100449">
                  <w:marLeft w:val="0"/>
                  <w:marRight w:val="0"/>
                  <w:marTop w:val="0"/>
                  <w:marBottom w:val="0"/>
                  <w:divBdr>
                    <w:top w:val="none" w:sz="0" w:space="0" w:color="auto"/>
                    <w:left w:val="none" w:sz="0" w:space="0" w:color="auto"/>
                    <w:bottom w:val="none" w:sz="0" w:space="0" w:color="auto"/>
                    <w:right w:val="none" w:sz="0" w:space="0" w:color="auto"/>
                  </w:divBdr>
                  <w:divsChild>
                    <w:div w:id="1968076273">
                      <w:marLeft w:val="0"/>
                      <w:marRight w:val="0"/>
                      <w:marTop w:val="0"/>
                      <w:marBottom w:val="0"/>
                      <w:divBdr>
                        <w:top w:val="none" w:sz="0" w:space="0" w:color="auto"/>
                        <w:left w:val="none" w:sz="0" w:space="0" w:color="auto"/>
                        <w:bottom w:val="none" w:sz="0" w:space="0" w:color="auto"/>
                        <w:right w:val="none" w:sz="0" w:space="0" w:color="auto"/>
                      </w:divBdr>
                      <w:divsChild>
                        <w:div w:id="32772137">
                          <w:marLeft w:val="0"/>
                          <w:marRight w:val="0"/>
                          <w:marTop w:val="0"/>
                          <w:marBottom w:val="240"/>
                          <w:divBdr>
                            <w:top w:val="none" w:sz="0" w:space="0" w:color="auto"/>
                            <w:left w:val="none" w:sz="0" w:space="0" w:color="auto"/>
                            <w:bottom w:val="none" w:sz="0" w:space="0" w:color="auto"/>
                            <w:right w:val="none" w:sz="0" w:space="0" w:color="auto"/>
                          </w:divBdr>
                          <w:divsChild>
                            <w:div w:id="19345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147753">
              <w:marLeft w:val="0"/>
              <w:marRight w:val="300"/>
              <w:marTop w:val="0"/>
              <w:marBottom w:val="0"/>
              <w:divBdr>
                <w:top w:val="none" w:sz="0" w:space="0" w:color="auto"/>
                <w:left w:val="none" w:sz="0" w:space="0" w:color="auto"/>
                <w:bottom w:val="none" w:sz="0" w:space="0" w:color="auto"/>
                <w:right w:val="none" w:sz="0" w:space="0" w:color="auto"/>
              </w:divBdr>
              <w:divsChild>
                <w:div w:id="2063600766">
                  <w:marLeft w:val="0"/>
                  <w:marRight w:val="0"/>
                  <w:marTop w:val="0"/>
                  <w:marBottom w:val="0"/>
                  <w:divBdr>
                    <w:top w:val="none" w:sz="0" w:space="0" w:color="auto"/>
                    <w:left w:val="none" w:sz="0" w:space="0" w:color="auto"/>
                    <w:bottom w:val="none" w:sz="0" w:space="0" w:color="auto"/>
                    <w:right w:val="none" w:sz="0" w:space="0" w:color="auto"/>
                  </w:divBdr>
                  <w:divsChild>
                    <w:div w:id="845678638">
                      <w:marLeft w:val="0"/>
                      <w:marRight w:val="0"/>
                      <w:marTop w:val="0"/>
                      <w:marBottom w:val="0"/>
                      <w:divBdr>
                        <w:top w:val="none" w:sz="0" w:space="0" w:color="auto"/>
                        <w:left w:val="none" w:sz="0" w:space="0" w:color="auto"/>
                        <w:bottom w:val="none" w:sz="0" w:space="0" w:color="auto"/>
                        <w:right w:val="none" w:sz="0" w:space="0" w:color="auto"/>
                      </w:divBdr>
                    </w:div>
                    <w:div w:id="1320186866">
                      <w:marLeft w:val="0"/>
                      <w:marRight w:val="0"/>
                      <w:marTop w:val="0"/>
                      <w:marBottom w:val="0"/>
                      <w:divBdr>
                        <w:top w:val="none" w:sz="0" w:space="0" w:color="auto"/>
                        <w:left w:val="none" w:sz="0" w:space="0" w:color="auto"/>
                        <w:bottom w:val="none" w:sz="0" w:space="0" w:color="auto"/>
                        <w:right w:val="none" w:sz="0" w:space="0" w:color="auto"/>
                      </w:divBdr>
                    </w:div>
                    <w:div w:id="687828626">
                      <w:marLeft w:val="0"/>
                      <w:marRight w:val="0"/>
                      <w:marTop w:val="0"/>
                      <w:marBottom w:val="0"/>
                      <w:divBdr>
                        <w:top w:val="none" w:sz="0" w:space="0" w:color="auto"/>
                        <w:left w:val="none" w:sz="0" w:space="0" w:color="auto"/>
                        <w:bottom w:val="none" w:sz="0" w:space="0" w:color="auto"/>
                        <w:right w:val="none" w:sz="0" w:space="0" w:color="auto"/>
                      </w:divBdr>
                    </w:div>
                    <w:div w:id="1866404241">
                      <w:marLeft w:val="0"/>
                      <w:marRight w:val="0"/>
                      <w:marTop w:val="0"/>
                      <w:marBottom w:val="0"/>
                      <w:divBdr>
                        <w:top w:val="none" w:sz="0" w:space="0" w:color="auto"/>
                        <w:left w:val="none" w:sz="0" w:space="0" w:color="auto"/>
                        <w:bottom w:val="none" w:sz="0" w:space="0" w:color="auto"/>
                        <w:right w:val="none" w:sz="0" w:space="0" w:color="auto"/>
                      </w:divBdr>
                    </w:div>
                    <w:div w:id="1700659513">
                      <w:marLeft w:val="0"/>
                      <w:marRight w:val="0"/>
                      <w:marTop w:val="0"/>
                      <w:marBottom w:val="0"/>
                      <w:divBdr>
                        <w:top w:val="none" w:sz="0" w:space="0" w:color="auto"/>
                        <w:left w:val="none" w:sz="0" w:space="0" w:color="auto"/>
                        <w:bottom w:val="none" w:sz="0" w:space="0" w:color="auto"/>
                        <w:right w:val="none" w:sz="0" w:space="0" w:color="auto"/>
                      </w:divBdr>
                    </w:div>
                  </w:divsChild>
                </w:div>
                <w:div w:id="188879874">
                  <w:marLeft w:val="0"/>
                  <w:marRight w:val="0"/>
                  <w:marTop w:val="0"/>
                  <w:marBottom w:val="0"/>
                  <w:divBdr>
                    <w:top w:val="none" w:sz="0" w:space="0" w:color="auto"/>
                    <w:left w:val="none" w:sz="0" w:space="0" w:color="auto"/>
                    <w:bottom w:val="none" w:sz="0" w:space="0" w:color="auto"/>
                    <w:right w:val="none" w:sz="0" w:space="0" w:color="auto"/>
                  </w:divBdr>
                  <w:divsChild>
                    <w:div w:id="1802729945">
                      <w:marLeft w:val="0"/>
                      <w:marRight w:val="0"/>
                      <w:marTop w:val="0"/>
                      <w:marBottom w:val="0"/>
                      <w:divBdr>
                        <w:top w:val="none" w:sz="0" w:space="0" w:color="auto"/>
                        <w:left w:val="none" w:sz="0" w:space="0" w:color="auto"/>
                        <w:bottom w:val="none" w:sz="0" w:space="0" w:color="auto"/>
                        <w:right w:val="none" w:sz="0" w:space="0" w:color="auto"/>
                      </w:divBdr>
                      <w:divsChild>
                        <w:div w:id="147211872">
                          <w:marLeft w:val="0"/>
                          <w:marRight w:val="0"/>
                          <w:marTop w:val="0"/>
                          <w:marBottom w:val="0"/>
                          <w:divBdr>
                            <w:top w:val="none" w:sz="0" w:space="0" w:color="auto"/>
                            <w:left w:val="none" w:sz="0" w:space="0" w:color="auto"/>
                            <w:bottom w:val="none" w:sz="0" w:space="0" w:color="auto"/>
                            <w:right w:val="none" w:sz="0" w:space="0" w:color="auto"/>
                          </w:divBdr>
                          <w:divsChild>
                            <w:div w:id="1009987981">
                              <w:marLeft w:val="0"/>
                              <w:marRight w:val="0"/>
                              <w:marTop w:val="0"/>
                              <w:marBottom w:val="0"/>
                              <w:divBdr>
                                <w:top w:val="none" w:sz="0" w:space="0" w:color="auto"/>
                                <w:left w:val="none" w:sz="0" w:space="0" w:color="auto"/>
                                <w:bottom w:val="none" w:sz="0" w:space="0" w:color="auto"/>
                                <w:right w:val="none" w:sz="0" w:space="0" w:color="auto"/>
                              </w:divBdr>
                              <w:divsChild>
                                <w:div w:id="1674066032">
                                  <w:marLeft w:val="0"/>
                                  <w:marRight w:val="0"/>
                                  <w:marTop w:val="0"/>
                                  <w:marBottom w:val="240"/>
                                  <w:divBdr>
                                    <w:top w:val="none" w:sz="0" w:space="0" w:color="auto"/>
                                    <w:left w:val="none" w:sz="0" w:space="0" w:color="auto"/>
                                    <w:bottom w:val="none" w:sz="0" w:space="0" w:color="auto"/>
                                    <w:right w:val="none" w:sz="0" w:space="0" w:color="auto"/>
                                  </w:divBdr>
                                  <w:divsChild>
                                    <w:div w:id="97556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101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3707075">
      <w:bodyDiv w:val="1"/>
      <w:marLeft w:val="0"/>
      <w:marRight w:val="0"/>
      <w:marTop w:val="0"/>
      <w:marBottom w:val="0"/>
      <w:divBdr>
        <w:top w:val="none" w:sz="0" w:space="0" w:color="auto"/>
        <w:left w:val="none" w:sz="0" w:space="0" w:color="auto"/>
        <w:bottom w:val="none" w:sz="0" w:space="0" w:color="auto"/>
        <w:right w:val="none" w:sz="0" w:space="0" w:color="auto"/>
      </w:divBdr>
      <w:divsChild>
        <w:div w:id="488863097">
          <w:marLeft w:val="0"/>
          <w:marRight w:val="0"/>
          <w:marTop w:val="0"/>
          <w:marBottom w:val="0"/>
          <w:divBdr>
            <w:top w:val="none" w:sz="0" w:space="0" w:color="auto"/>
            <w:left w:val="none" w:sz="0" w:space="0" w:color="auto"/>
            <w:bottom w:val="none" w:sz="0" w:space="0" w:color="auto"/>
            <w:right w:val="none" w:sz="0" w:space="0" w:color="auto"/>
          </w:divBdr>
          <w:divsChild>
            <w:div w:id="95713102">
              <w:marLeft w:val="0"/>
              <w:marRight w:val="0"/>
              <w:marTop w:val="0"/>
              <w:marBottom w:val="0"/>
              <w:divBdr>
                <w:top w:val="none" w:sz="0" w:space="0" w:color="auto"/>
                <w:left w:val="none" w:sz="0" w:space="0" w:color="auto"/>
                <w:bottom w:val="none" w:sz="0" w:space="0" w:color="auto"/>
                <w:right w:val="none" w:sz="0" w:space="0" w:color="auto"/>
              </w:divBdr>
              <w:divsChild>
                <w:div w:id="351613025">
                  <w:marLeft w:val="0"/>
                  <w:marRight w:val="0"/>
                  <w:marTop w:val="0"/>
                  <w:marBottom w:val="0"/>
                  <w:divBdr>
                    <w:top w:val="none" w:sz="0" w:space="0" w:color="auto"/>
                    <w:left w:val="none" w:sz="0" w:space="0" w:color="auto"/>
                    <w:bottom w:val="none" w:sz="0" w:space="0" w:color="auto"/>
                    <w:right w:val="none" w:sz="0" w:space="0" w:color="auto"/>
                  </w:divBdr>
                  <w:divsChild>
                    <w:div w:id="259871090">
                      <w:marLeft w:val="0"/>
                      <w:marRight w:val="0"/>
                      <w:marTop w:val="0"/>
                      <w:marBottom w:val="0"/>
                      <w:divBdr>
                        <w:top w:val="none" w:sz="0" w:space="0" w:color="auto"/>
                        <w:left w:val="single" w:sz="48" w:space="0" w:color="auto"/>
                        <w:bottom w:val="none" w:sz="0" w:space="0" w:color="auto"/>
                        <w:right w:val="none" w:sz="0" w:space="0" w:color="auto"/>
                      </w:divBdr>
                    </w:div>
                  </w:divsChild>
                </w:div>
                <w:div w:id="209932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02372">
          <w:marLeft w:val="0"/>
          <w:marRight w:val="0"/>
          <w:marTop w:val="0"/>
          <w:marBottom w:val="0"/>
          <w:divBdr>
            <w:top w:val="none" w:sz="0" w:space="0" w:color="auto"/>
            <w:left w:val="none" w:sz="0" w:space="0" w:color="auto"/>
            <w:bottom w:val="none" w:sz="0" w:space="0" w:color="auto"/>
            <w:right w:val="none" w:sz="0" w:space="0" w:color="auto"/>
          </w:divBdr>
          <w:divsChild>
            <w:div w:id="617301130">
              <w:marLeft w:val="0"/>
              <w:marRight w:val="0"/>
              <w:marTop w:val="0"/>
              <w:marBottom w:val="900"/>
              <w:divBdr>
                <w:top w:val="none" w:sz="0" w:space="0" w:color="auto"/>
                <w:left w:val="none" w:sz="0" w:space="0" w:color="auto"/>
                <w:bottom w:val="none" w:sz="0" w:space="0" w:color="auto"/>
                <w:right w:val="none" w:sz="0" w:space="0" w:color="auto"/>
              </w:divBdr>
              <w:divsChild>
                <w:div w:id="438768245">
                  <w:marLeft w:val="0"/>
                  <w:marRight w:val="0"/>
                  <w:marTop w:val="0"/>
                  <w:marBottom w:val="540"/>
                  <w:divBdr>
                    <w:top w:val="none" w:sz="0" w:space="0" w:color="auto"/>
                    <w:left w:val="none" w:sz="0" w:space="0" w:color="auto"/>
                    <w:bottom w:val="none" w:sz="0" w:space="0" w:color="auto"/>
                    <w:right w:val="none" w:sz="0" w:space="0" w:color="auto"/>
                  </w:divBdr>
                </w:div>
                <w:div w:id="1225065460">
                  <w:marLeft w:val="0"/>
                  <w:marRight w:val="0"/>
                  <w:marTop w:val="0"/>
                  <w:marBottom w:val="0"/>
                  <w:divBdr>
                    <w:top w:val="none" w:sz="0" w:space="0" w:color="auto"/>
                    <w:left w:val="none" w:sz="0" w:space="0" w:color="auto"/>
                    <w:bottom w:val="none" w:sz="0" w:space="0" w:color="auto"/>
                    <w:right w:val="none" w:sz="0" w:space="0" w:color="auto"/>
                  </w:divBdr>
                  <w:divsChild>
                    <w:div w:id="1823037181">
                      <w:marLeft w:val="0"/>
                      <w:marRight w:val="0"/>
                      <w:marTop w:val="0"/>
                      <w:marBottom w:val="0"/>
                      <w:divBdr>
                        <w:top w:val="none" w:sz="0" w:space="0" w:color="auto"/>
                        <w:left w:val="none" w:sz="0" w:space="0" w:color="auto"/>
                        <w:bottom w:val="none" w:sz="0" w:space="0" w:color="auto"/>
                        <w:right w:val="none" w:sz="0" w:space="0" w:color="auto"/>
                      </w:divBdr>
                      <w:divsChild>
                        <w:div w:id="2018578809">
                          <w:marLeft w:val="0"/>
                          <w:marRight w:val="0"/>
                          <w:marTop w:val="0"/>
                          <w:marBottom w:val="240"/>
                          <w:divBdr>
                            <w:top w:val="none" w:sz="0" w:space="0" w:color="auto"/>
                            <w:left w:val="none" w:sz="0" w:space="0" w:color="auto"/>
                            <w:bottom w:val="none" w:sz="0" w:space="0" w:color="auto"/>
                            <w:right w:val="none" w:sz="0" w:space="0" w:color="auto"/>
                          </w:divBdr>
                          <w:divsChild>
                            <w:div w:id="77837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191828">
              <w:marLeft w:val="0"/>
              <w:marRight w:val="300"/>
              <w:marTop w:val="0"/>
              <w:marBottom w:val="0"/>
              <w:divBdr>
                <w:top w:val="none" w:sz="0" w:space="0" w:color="auto"/>
                <w:left w:val="none" w:sz="0" w:space="0" w:color="auto"/>
                <w:bottom w:val="none" w:sz="0" w:space="0" w:color="auto"/>
                <w:right w:val="none" w:sz="0" w:space="0" w:color="auto"/>
              </w:divBdr>
              <w:divsChild>
                <w:div w:id="98650825">
                  <w:marLeft w:val="0"/>
                  <w:marRight w:val="0"/>
                  <w:marTop w:val="0"/>
                  <w:marBottom w:val="0"/>
                  <w:divBdr>
                    <w:top w:val="none" w:sz="0" w:space="0" w:color="auto"/>
                    <w:left w:val="none" w:sz="0" w:space="0" w:color="auto"/>
                    <w:bottom w:val="none" w:sz="0" w:space="0" w:color="auto"/>
                    <w:right w:val="none" w:sz="0" w:space="0" w:color="auto"/>
                  </w:divBdr>
                  <w:divsChild>
                    <w:div w:id="276447769">
                      <w:marLeft w:val="0"/>
                      <w:marRight w:val="0"/>
                      <w:marTop w:val="0"/>
                      <w:marBottom w:val="0"/>
                      <w:divBdr>
                        <w:top w:val="none" w:sz="0" w:space="0" w:color="auto"/>
                        <w:left w:val="none" w:sz="0" w:space="0" w:color="auto"/>
                        <w:bottom w:val="none" w:sz="0" w:space="0" w:color="auto"/>
                        <w:right w:val="none" w:sz="0" w:space="0" w:color="auto"/>
                      </w:divBdr>
                    </w:div>
                    <w:div w:id="1417553410">
                      <w:marLeft w:val="0"/>
                      <w:marRight w:val="0"/>
                      <w:marTop w:val="0"/>
                      <w:marBottom w:val="0"/>
                      <w:divBdr>
                        <w:top w:val="none" w:sz="0" w:space="0" w:color="auto"/>
                        <w:left w:val="none" w:sz="0" w:space="0" w:color="auto"/>
                        <w:bottom w:val="none" w:sz="0" w:space="0" w:color="auto"/>
                        <w:right w:val="none" w:sz="0" w:space="0" w:color="auto"/>
                      </w:divBdr>
                    </w:div>
                    <w:div w:id="675958981">
                      <w:marLeft w:val="0"/>
                      <w:marRight w:val="0"/>
                      <w:marTop w:val="0"/>
                      <w:marBottom w:val="0"/>
                      <w:divBdr>
                        <w:top w:val="none" w:sz="0" w:space="0" w:color="auto"/>
                        <w:left w:val="none" w:sz="0" w:space="0" w:color="auto"/>
                        <w:bottom w:val="none" w:sz="0" w:space="0" w:color="auto"/>
                        <w:right w:val="none" w:sz="0" w:space="0" w:color="auto"/>
                      </w:divBdr>
                    </w:div>
                    <w:div w:id="620843699">
                      <w:marLeft w:val="0"/>
                      <w:marRight w:val="0"/>
                      <w:marTop w:val="0"/>
                      <w:marBottom w:val="0"/>
                      <w:divBdr>
                        <w:top w:val="none" w:sz="0" w:space="0" w:color="auto"/>
                        <w:left w:val="none" w:sz="0" w:space="0" w:color="auto"/>
                        <w:bottom w:val="none" w:sz="0" w:space="0" w:color="auto"/>
                        <w:right w:val="none" w:sz="0" w:space="0" w:color="auto"/>
                      </w:divBdr>
                    </w:div>
                    <w:div w:id="1291129444">
                      <w:marLeft w:val="0"/>
                      <w:marRight w:val="0"/>
                      <w:marTop w:val="0"/>
                      <w:marBottom w:val="0"/>
                      <w:divBdr>
                        <w:top w:val="none" w:sz="0" w:space="0" w:color="auto"/>
                        <w:left w:val="none" w:sz="0" w:space="0" w:color="auto"/>
                        <w:bottom w:val="none" w:sz="0" w:space="0" w:color="auto"/>
                        <w:right w:val="none" w:sz="0" w:space="0" w:color="auto"/>
                      </w:divBdr>
                    </w:div>
                  </w:divsChild>
                </w:div>
                <w:div w:id="1664433095">
                  <w:marLeft w:val="0"/>
                  <w:marRight w:val="0"/>
                  <w:marTop w:val="0"/>
                  <w:marBottom w:val="0"/>
                  <w:divBdr>
                    <w:top w:val="none" w:sz="0" w:space="0" w:color="auto"/>
                    <w:left w:val="none" w:sz="0" w:space="0" w:color="auto"/>
                    <w:bottom w:val="none" w:sz="0" w:space="0" w:color="auto"/>
                    <w:right w:val="none" w:sz="0" w:space="0" w:color="auto"/>
                  </w:divBdr>
                  <w:divsChild>
                    <w:div w:id="1992630967">
                      <w:marLeft w:val="0"/>
                      <w:marRight w:val="0"/>
                      <w:marTop w:val="0"/>
                      <w:marBottom w:val="0"/>
                      <w:divBdr>
                        <w:top w:val="none" w:sz="0" w:space="0" w:color="auto"/>
                        <w:left w:val="none" w:sz="0" w:space="0" w:color="auto"/>
                        <w:bottom w:val="none" w:sz="0" w:space="0" w:color="auto"/>
                        <w:right w:val="none" w:sz="0" w:space="0" w:color="auto"/>
                      </w:divBdr>
                      <w:divsChild>
                        <w:div w:id="451679707">
                          <w:marLeft w:val="0"/>
                          <w:marRight w:val="0"/>
                          <w:marTop w:val="0"/>
                          <w:marBottom w:val="0"/>
                          <w:divBdr>
                            <w:top w:val="none" w:sz="0" w:space="0" w:color="auto"/>
                            <w:left w:val="none" w:sz="0" w:space="0" w:color="auto"/>
                            <w:bottom w:val="none" w:sz="0" w:space="0" w:color="auto"/>
                            <w:right w:val="none" w:sz="0" w:space="0" w:color="auto"/>
                          </w:divBdr>
                          <w:divsChild>
                            <w:div w:id="1350835967">
                              <w:marLeft w:val="0"/>
                              <w:marRight w:val="0"/>
                              <w:marTop w:val="0"/>
                              <w:marBottom w:val="0"/>
                              <w:divBdr>
                                <w:top w:val="none" w:sz="0" w:space="0" w:color="auto"/>
                                <w:left w:val="none" w:sz="0" w:space="0" w:color="auto"/>
                                <w:bottom w:val="none" w:sz="0" w:space="0" w:color="auto"/>
                                <w:right w:val="none" w:sz="0" w:space="0" w:color="auto"/>
                              </w:divBdr>
                              <w:divsChild>
                                <w:div w:id="516581922">
                                  <w:marLeft w:val="0"/>
                                  <w:marRight w:val="0"/>
                                  <w:marTop w:val="0"/>
                                  <w:marBottom w:val="240"/>
                                  <w:divBdr>
                                    <w:top w:val="none" w:sz="0" w:space="0" w:color="auto"/>
                                    <w:left w:val="none" w:sz="0" w:space="0" w:color="auto"/>
                                    <w:bottom w:val="none" w:sz="0" w:space="0" w:color="auto"/>
                                    <w:right w:val="none" w:sz="0" w:space="0" w:color="auto"/>
                                  </w:divBdr>
                                  <w:divsChild>
                                    <w:div w:id="70610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09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opean-union.europa.eu/institutions-law-budget/euro/countries-using-euro_uk" TargetMode="External"/><Relationship Id="rId13" Type="http://schemas.openxmlformats.org/officeDocument/2006/relationships/hyperlink" Target="https://www.bis.org/publ/work393.pdf" TargetMode="External"/><Relationship Id="rId18" Type="http://schemas.openxmlformats.org/officeDocument/2006/relationships/hyperlink" Target="https://link.springer.com/article/10.1057/s41253-022-00203-y" TargetMode="External"/><Relationship Id="rId3" Type="http://schemas.openxmlformats.org/officeDocument/2006/relationships/settings" Target="settings.xml"/><Relationship Id="rId7" Type="http://schemas.openxmlformats.org/officeDocument/2006/relationships/hyperlink" Target="https://www.researchgate.net/publication/5038955_The_Launch_of_the_Euro" TargetMode="External"/><Relationship Id="rId12" Type="http://schemas.openxmlformats.org/officeDocument/2006/relationships/hyperlink" Target="https://www.tandfonline.com/doi/full/10.1080/07036337.2021.1877690" TargetMode="External"/><Relationship Id="rId17" Type="http://schemas.openxmlformats.org/officeDocument/2006/relationships/hyperlink" Target="https://www.dw.com/en/german-engineers-under-pressure-from-china/a-48173351" TargetMode="External"/><Relationship Id="rId2" Type="http://schemas.openxmlformats.org/officeDocument/2006/relationships/styles" Target="styles.xml"/><Relationship Id="rId16" Type="http://schemas.openxmlformats.org/officeDocument/2006/relationships/hyperlink" Target="https://theconversation.com/germanys-economy-must-be-fixed-here-are-three-top-priorities-221464"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eurrec.org/ijoes-article-117074" TargetMode="External"/><Relationship Id="rId5" Type="http://schemas.openxmlformats.org/officeDocument/2006/relationships/hyperlink" Target="https://theconversation.com/profiles/david-blake-408605" TargetMode="External"/><Relationship Id="rId15" Type="http://schemas.openxmlformats.org/officeDocument/2006/relationships/hyperlink" Target="https://www.shutterstock.com/image-photo/european-central-bank-euro-administers-monetary-1269309565" TargetMode="External"/><Relationship Id="rId10" Type="http://schemas.openxmlformats.org/officeDocument/2006/relationships/hyperlink" Target="https://doi.org/10.3390/jrfm16120506"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ecb.europa.eu/paym/target/target2/html/index.en.html" TargetMode="External"/><Relationship Id="rId14"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1084</Words>
  <Characters>5965</Characters>
  <Application>Microsoft Office Word</Application>
  <DocSecurity>0</DocSecurity>
  <Lines>49</Lines>
  <Paragraphs>14</Paragraphs>
  <ScaleCrop>false</ScaleCrop>
  <Company/>
  <LinksUpToDate>false</LinksUpToDate>
  <CharactersWithSpaces>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2024-10-16T15:41:00Z</dcterms:created>
  <dcterms:modified xsi:type="dcterms:W3CDTF">2024-10-18T14:40:00Z</dcterms:modified>
</cp:coreProperties>
</file>