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77B24" w14:textId="47A5F8F1" w:rsidR="00CD00AE" w:rsidRPr="00CD00AE" w:rsidRDefault="00CD00AE" w:rsidP="00D02488">
      <w:pPr>
        <w:spacing w:line="276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</w:pPr>
      <w:r w:rsidRPr="00CD00AE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Fiche anatomie</w:t>
      </w:r>
      <w:r w:rsidR="00D0248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et physiologie</w:t>
      </w:r>
      <w:r w:rsidRPr="00CD00AE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d</w:t>
      </w:r>
      <w:r w:rsidR="00D0248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es tissus musculaires</w:t>
      </w:r>
    </w:p>
    <w:p w14:paraId="0E449F9B" w14:textId="77777777" w:rsidR="00D02488" w:rsidRDefault="00D02488" w:rsidP="00D02488">
      <w:pPr>
        <w:spacing w:after="0" w:line="276" w:lineRule="auto"/>
        <w:rPr>
          <w:rFonts w:eastAsia="Times New Roman" w:cstheme="minorHAnsi"/>
          <w:sz w:val="24"/>
          <w:szCs w:val="24"/>
          <w:lang w:eastAsia="fr-FR"/>
        </w:rPr>
      </w:pPr>
    </w:p>
    <w:p w14:paraId="4CFA060D" w14:textId="77777777" w:rsidR="00D02488" w:rsidRPr="00CD00AE" w:rsidRDefault="00D02488" w:rsidP="00D02488">
      <w:pPr>
        <w:spacing w:after="0" w:line="276" w:lineRule="auto"/>
        <w:rPr>
          <w:rFonts w:eastAsia="Times New Roman" w:cstheme="minorHAnsi"/>
          <w:sz w:val="24"/>
          <w:szCs w:val="24"/>
          <w:lang w:eastAsia="fr-FR"/>
        </w:rPr>
      </w:pPr>
    </w:p>
    <w:p w14:paraId="2027058D" w14:textId="13D5B986" w:rsidR="00CD00AE" w:rsidRPr="00A941B0" w:rsidRDefault="289EC90C" w:rsidP="00D02488">
      <w:pPr>
        <w:spacing w:line="276" w:lineRule="auto"/>
        <w:rPr>
          <w:rFonts w:eastAsia="Times New Roman" w:cstheme="minorHAnsi"/>
          <w:sz w:val="24"/>
          <w:szCs w:val="24"/>
          <w:u w:val="single"/>
          <w:lang w:eastAsia="fr-FR"/>
        </w:rPr>
      </w:pPr>
      <w:r w:rsidRPr="289EC90C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fr-FR"/>
        </w:rPr>
        <w:t>I. Organisation du muscle strié squelettique</w:t>
      </w:r>
    </w:p>
    <w:p w14:paraId="7138289A" w14:textId="1DD79125" w:rsidR="00735715" w:rsidRDefault="00774B07" w:rsidP="00D02488">
      <w:pPr>
        <w:spacing w:line="276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>
        <w:rPr>
          <w:rFonts w:eastAsia="Times New Roman"/>
          <w:color w:val="000000" w:themeColor="text1"/>
          <w:sz w:val="24"/>
          <w:szCs w:val="24"/>
          <w:lang w:eastAsia="fr-FR"/>
        </w:rPr>
        <w:t>1</w:t>
      </w:r>
      <w:r w:rsidR="289EC90C" w:rsidRPr="289EC90C">
        <w:rPr>
          <w:rFonts w:eastAsia="Times New Roman"/>
          <w:color w:val="000000" w:themeColor="text1"/>
          <w:sz w:val="24"/>
          <w:szCs w:val="24"/>
          <w:lang w:eastAsia="fr-FR"/>
        </w:rPr>
        <w:t>.1 Justifier l’appellation “squelettique” de ce tissu</w:t>
      </w:r>
    </w:p>
    <w:p w14:paraId="2E533273" w14:textId="692A29DA" w:rsidR="00735715" w:rsidRDefault="00774B07" w:rsidP="00D02488">
      <w:pPr>
        <w:spacing w:line="276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>
        <w:rPr>
          <w:rFonts w:eastAsia="Times New Roman"/>
          <w:color w:val="000000" w:themeColor="text1"/>
          <w:sz w:val="24"/>
          <w:szCs w:val="24"/>
          <w:lang w:eastAsia="fr-FR"/>
        </w:rPr>
        <w:t>1</w:t>
      </w:r>
      <w:r w:rsidR="289EC90C" w:rsidRPr="289EC90C">
        <w:rPr>
          <w:rFonts w:eastAsia="Times New Roman"/>
          <w:color w:val="000000" w:themeColor="text1"/>
          <w:sz w:val="24"/>
          <w:szCs w:val="24"/>
          <w:lang w:eastAsia="fr-FR"/>
        </w:rPr>
        <w:t>.2 Légender le schéma suivant :</w:t>
      </w:r>
    </w:p>
    <w:p w14:paraId="7821768F" w14:textId="77FCC2E0" w:rsidR="00735715" w:rsidRDefault="00735715" w:rsidP="00D02488">
      <w:pPr>
        <w:spacing w:line="276" w:lineRule="auto"/>
        <w:rPr>
          <w:rFonts w:eastAsia="Times New Roman"/>
          <w:color w:val="00000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6E04A3B4" wp14:editId="435BA33E">
            <wp:extent cx="4572000" cy="2286009"/>
            <wp:effectExtent l="0" t="0" r="0" b="0"/>
            <wp:docPr id="1680547003" name="Image 168054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6185" w14:textId="416897C3" w:rsidR="00CD00AE" w:rsidRPr="00CD00AE" w:rsidRDefault="00CD00AE" w:rsidP="00D02488">
      <w:pPr>
        <w:spacing w:after="240" w:line="276" w:lineRule="auto"/>
        <w:rPr>
          <w:rFonts w:eastAsia="Times New Roman"/>
          <w:sz w:val="24"/>
          <w:szCs w:val="24"/>
          <w:lang w:eastAsia="fr-FR"/>
        </w:rPr>
      </w:pPr>
      <w:r>
        <w:br/>
      </w:r>
      <w:r w:rsidR="00774B07">
        <w:rPr>
          <w:rFonts w:eastAsia="Times New Roman"/>
          <w:color w:val="000000" w:themeColor="text1"/>
          <w:sz w:val="24"/>
          <w:szCs w:val="24"/>
          <w:lang w:eastAsia="fr-FR"/>
        </w:rPr>
        <w:t>1.3</w:t>
      </w:r>
      <w:r w:rsidR="3FE37811"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 Titrer et légender le schéma ci-dessous</w:t>
      </w:r>
    </w:p>
    <w:p w14:paraId="02959001" w14:textId="763D9720" w:rsidR="289EC90C" w:rsidRDefault="289EC90C" w:rsidP="00D02488">
      <w:pPr>
        <w:spacing w:after="240" w:line="276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7DFA7E98" wp14:editId="24CAE8C2">
            <wp:extent cx="2792361" cy="2705100"/>
            <wp:effectExtent l="0" t="0" r="0" b="0"/>
            <wp:docPr id="620169364" name="Image 62016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61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B88C" w14:textId="77F27135" w:rsidR="00CD00AE" w:rsidRPr="00CD00AE" w:rsidRDefault="00CD00AE" w:rsidP="00D02488">
      <w:pPr>
        <w:spacing w:after="240" w:line="276" w:lineRule="auto"/>
        <w:jc w:val="both"/>
        <w:rPr>
          <w:rFonts w:eastAsia="Times New Roman"/>
          <w:sz w:val="24"/>
          <w:szCs w:val="24"/>
          <w:lang w:eastAsia="fr-FR"/>
        </w:rPr>
      </w:pPr>
      <w:r>
        <w:br/>
      </w:r>
      <w:r w:rsidR="00774B07">
        <w:t xml:space="preserve">1.4 </w:t>
      </w:r>
      <w:r w:rsidR="0104A737" w:rsidRPr="0104A737">
        <w:rPr>
          <w:rFonts w:eastAsia="Times New Roman"/>
          <w:color w:val="000000" w:themeColor="text1"/>
          <w:sz w:val="24"/>
          <w:szCs w:val="24"/>
          <w:lang w:eastAsia="fr-FR"/>
        </w:rPr>
        <w:t>Quel</w:t>
      </w:r>
      <w:r w:rsidR="00774B07">
        <w:rPr>
          <w:rFonts w:eastAsia="Times New Roman"/>
          <w:color w:val="000000" w:themeColor="text1"/>
          <w:sz w:val="24"/>
          <w:szCs w:val="24"/>
          <w:lang w:eastAsia="fr-FR"/>
        </w:rPr>
        <w:t>le</w:t>
      </w:r>
      <w:r w:rsidR="0104A737" w:rsidRPr="0104A737">
        <w:rPr>
          <w:rFonts w:eastAsia="Times New Roman"/>
          <w:color w:val="000000" w:themeColor="text1"/>
          <w:sz w:val="24"/>
          <w:szCs w:val="24"/>
          <w:lang w:eastAsia="fr-FR"/>
        </w:rPr>
        <w:t xml:space="preserve">s sont les 2 </w:t>
      </w:r>
      <w:r w:rsidR="00774B07">
        <w:rPr>
          <w:rFonts w:eastAsia="Times New Roman"/>
          <w:color w:val="000000" w:themeColor="text1"/>
          <w:sz w:val="24"/>
          <w:szCs w:val="24"/>
          <w:lang w:eastAsia="fr-FR"/>
        </w:rPr>
        <w:t>protéines contractiles</w:t>
      </w:r>
      <w:r w:rsidR="0104A737" w:rsidRPr="0104A737">
        <w:rPr>
          <w:rFonts w:eastAsia="Times New Roman"/>
          <w:color w:val="000000" w:themeColor="text1"/>
          <w:sz w:val="24"/>
          <w:szCs w:val="24"/>
          <w:lang w:eastAsia="fr-FR"/>
        </w:rPr>
        <w:t xml:space="preserve"> du muscle ? Expliquer</w:t>
      </w:r>
      <w:r w:rsidR="00D02488">
        <w:rPr>
          <w:rFonts w:eastAsia="Times New Roman"/>
          <w:color w:val="000000" w:themeColor="text1"/>
          <w:sz w:val="24"/>
          <w:szCs w:val="24"/>
          <w:lang w:eastAsia="fr-FR"/>
        </w:rPr>
        <w:t xml:space="preserve"> succinctement</w:t>
      </w:r>
      <w:r w:rsidR="0104A737" w:rsidRPr="0104A737">
        <w:rPr>
          <w:rFonts w:eastAsia="Times New Roman"/>
          <w:color w:val="000000" w:themeColor="text1"/>
          <w:sz w:val="24"/>
          <w:szCs w:val="24"/>
          <w:lang w:eastAsia="fr-FR"/>
        </w:rPr>
        <w:t xml:space="preserve"> leur composition</w:t>
      </w:r>
      <w:r>
        <w:br/>
      </w:r>
      <w:r>
        <w:br/>
      </w:r>
      <w:r w:rsidR="00774B07">
        <w:rPr>
          <w:rFonts w:eastAsia="Times New Roman"/>
          <w:color w:val="000000" w:themeColor="text1"/>
          <w:sz w:val="24"/>
          <w:szCs w:val="24"/>
          <w:lang w:eastAsia="fr-FR"/>
        </w:rPr>
        <w:t>1.5</w:t>
      </w:r>
      <w:r w:rsidR="0104A737" w:rsidRPr="0104A737">
        <w:rPr>
          <w:rFonts w:eastAsia="Times New Roman"/>
          <w:color w:val="000000" w:themeColor="text1"/>
          <w:sz w:val="24"/>
          <w:szCs w:val="24"/>
          <w:lang w:eastAsia="fr-FR"/>
        </w:rPr>
        <w:t xml:space="preserve"> Titrer et légender le schéma ci-dessous</w:t>
      </w:r>
    </w:p>
    <w:p w14:paraId="54F9DC9F" w14:textId="5BCDE5A4" w:rsidR="00CD00AE" w:rsidRPr="00CD00AE" w:rsidRDefault="00CD00AE" w:rsidP="00D02488">
      <w:pPr>
        <w:spacing w:after="240" w:line="276" w:lineRule="auto"/>
        <w:jc w:val="both"/>
        <w:rPr>
          <w:rFonts w:eastAsia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31F283FA" wp14:editId="5D7E9D0A">
            <wp:extent cx="4559300" cy="2507615"/>
            <wp:effectExtent l="0" t="0" r="0" b="6985"/>
            <wp:docPr id="2070326548" name="Image 207032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61" cy="250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09196C2" w14:textId="77777777" w:rsidR="00CD00AE" w:rsidRPr="00CD00AE" w:rsidRDefault="00CD00AE" w:rsidP="00D02488">
      <w:pPr>
        <w:spacing w:line="276" w:lineRule="auto"/>
        <w:ind w:firstLine="2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CD00A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III. Organisation du muscle lisse</w:t>
      </w:r>
    </w:p>
    <w:p w14:paraId="1E294E3B" w14:textId="78472599" w:rsidR="3FE37811" w:rsidRDefault="3FE37811" w:rsidP="00D02488">
      <w:pPr>
        <w:spacing w:after="240" w:line="276" w:lineRule="auto"/>
        <w:ind w:firstLine="2"/>
        <w:rPr>
          <w:rFonts w:eastAsia="Times New Roman"/>
          <w:color w:val="000000" w:themeColor="text1"/>
          <w:sz w:val="24"/>
          <w:szCs w:val="24"/>
          <w:lang w:eastAsia="fr-FR"/>
        </w:rPr>
      </w:pPr>
      <w:r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3.1 Quels sont les 2 types de tissu musculaire lisse ? </w:t>
      </w:r>
      <w:r w:rsidR="00492A62">
        <w:br/>
      </w:r>
      <w:r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3.2 Donner les caractéristiques des fibres lisses </w:t>
      </w:r>
    </w:p>
    <w:p w14:paraId="62725221" w14:textId="598CBD45" w:rsidR="00CD00AE" w:rsidRPr="00CD00AE" w:rsidRDefault="3FE37811" w:rsidP="00D02488">
      <w:pPr>
        <w:spacing w:after="240" w:line="276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3.3 Titrer et légender le schéma ci-dessous </w:t>
      </w:r>
    </w:p>
    <w:p w14:paraId="085B93D7" w14:textId="77777777" w:rsidR="00774B07" w:rsidRDefault="00CD00AE" w:rsidP="00D02488">
      <w:pPr>
        <w:spacing w:after="240" w:line="276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29BD505" wp14:editId="1C0D45CD">
            <wp:extent cx="3331029" cy="2544219"/>
            <wp:effectExtent l="0" t="0" r="3175" b="889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06D9C43-8C89-4120-8DCA-6E49B90B28F5}"/>
                        </a:ext>
                      </a:extLst>
                    </a:blip>
                    <a:srcRect r="9686"/>
                    <a:stretch>
                      <a:fillRect/>
                    </a:stretch>
                  </pic:blipFill>
                  <pic:spPr>
                    <a:xfrm>
                      <a:off x="0" y="0"/>
                      <a:ext cx="3331029" cy="254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71BC35A" w:rsidRPr="071BC35A">
        <w:rPr>
          <w:rFonts w:eastAsia="Times New Roman"/>
          <w:color w:val="000000" w:themeColor="text1"/>
          <w:sz w:val="24"/>
          <w:szCs w:val="24"/>
          <w:lang w:eastAsia="fr-FR"/>
        </w:rPr>
        <w:t> </w:t>
      </w:r>
    </w:p>
    <w:p w14:paraId="7FA0D6BB" w14:textId="2AEE05A7" w:rsidR="00CD00AE" w:rsidRDefault="071BC35A" w:rsidP="00D02488">
      <w:pPr>
        <w:spacing w:after="240" w:line="276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 w:rsidRPr="071BC35A">
        <w:rPr>
          <w:rFonts w:eastAsia="Times New Roman"/>
          <w:color w:val="000000" w:themeColor="text1"/>
          <w:sz w:val="24"/>
          <w:szCs w:val="24"/>
          <w:lang w:eastAsia="fr-FR"/>
        </w:rPr>
        <w:t>  </w:t>
      </w:r>
    </w:p>
    <w:p w14:paraId="1E08F1F1" w14:textId="57656331" w:rsidR="00D02488" w:rsidRPr="00D02488" w:rsidRDefault="00D02488" w:rsidP="00D02488">
      <w:pPr>
        <w:spacing w:line="276" w:lineRule="auto"/>
        <w:ind w:firstLine="2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CD00A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I</w:t>
      </w:r>
      <w:r w:rsidR="00774B07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II</w:t>
      </w:r>
      <w:r w:rsidRPr="00CD00A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 xml:space="preserve">. 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Physiologie de la contraction musculaire</w:t>
      </w:r>
    </w:p>
    <w:p w14:paraId="18FF5166" w14:textId="7CF2193D" w:rsidR="00D02488" w:rsidRDefault="00774B07" w:rsidP="00D02488">
      <w:pPr>
        <w:spacing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 w:themeColor="text1"/>
          <w:lang w:eastAsia="fr-FR"/>
        </w:rPr>
        <w:t>3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>.1 Détailler le mécanisme de la contraction musculaire à l’échelle du sarcomère en vous appuyant sur l'électronographie ci-dessous</w:t>
      </w:r>
    </w:p>
    <w:p w14:paraId="46384D51" w14:textId="5B9027E5" w:rsidR="00D02488" w:rsidRPr="00D02488" w:rsidRDefault="00D02488" w:rsidP="00D02488">
      <w:pPr>
        <w:spacing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>
        <w:rPr>
          <w:noProof/>
        </w:rPr>
        <w:lastRenderedPageBreak/>
        <w:drawing>
          <wp:inline distT="0" distB="0" distL="0" distR="0" wp14:anchorId="3ACF799E" wp14:editId="519D50F8">
            <wp:extent cx="2392680" cy="2514600"/>
            <wp:effectExtent l="0" t="0" r="7620" b="0"/>
            <wp:docPr id="197902517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106560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7756" r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39" cy="25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8CF8" w14:textId="380E61B6" w:rsidR="00D02488" w:rsidRDefault="00774B07" w:rsidP="00D02488">
      <w:pPr>
        <w:spacing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 w:themeColor="text1"/>
          <w:lang w:eastAsia="fr-FR"/>
        </w:rPr>
        <w:t>3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 xml:space="preserve">.2 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>Expliciter le rôle du calcium et de l’ATP dans la contraction musculaire à l’échelle moléculaire</w:t>
      </w:r>
    </w:p>
    <w:p w14:paraId="7805397F" w14:textId="6974A0A5" w:rsidR="00D02488" w:rsidRDefault="00774B07" w:rsidP="00D02488">
      <w:pPr>
        <w:spacing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 w:themeColor="text1"/>
          <w:lang w:eastAsia="fr-FR"/>
        </w:rPr>
        <w:t>3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>.3 Expliquer comment le cycle de la contraction s’arrête</w:t>
      </w:r>
    </w:p>
    <w:p w14:paraId="5382C526" w14:textId="76FFBC41" w:rsidR="00D02488" w:rsidRPr="00774B07" w:rsidRDefault="00774B07" w:rsidP="00774B07">
      <w:pPr>
        <w:spacing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 w:themeColor="text1"/>
          <w:lang w:eastAsia="fr-FR"/>
        </w:rPr>
        <w:t>3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>.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>4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 xml:space="preserve"> Expliquer les principales différences lors de la contraction musculaire dans le muscle lisse</w:t>
      </w:r>
    </w:p>
    <w:p w14:paraId="06DDD19C" w14:textId="548BF7CE" w:rsidR="00D02488" w:rsidRPr="00D02488" w:rsidRDefault="00774B07" w:rsidP="00D02488">
      <w:pPr>
        <w:spacing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>
        <w:rPr>
          <w:rFonts w:ascii="Calibri" w:eastAsia="Times New Roman" w:hAnsi="Calibri" w:cs="Calibri"/>
          <w:color w:val="000000" w:themeColor="text1"/>
          <w:lang w:eastAsia="fr-FR"/>
        </w:rPr>
        <w:t>3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 xml:space="preserve">.5 </w:t>
      </w:r>
      <w:r w:rsidR="00D02488">
        <w:rPr>
          <w:rFonts w:ascii="Calibri" w:eastAsia="Times New Roman" w:hAnsi="Calibri" w:cs="Calibri"/>
          <w:color w:val="000000" w:themeColor="text1"/>
          <w:lang w:eastAsia="fr-FR"/>
        </w:rPr>
        <w:t>Légender la synapse neuro-musculaire et à partir du schéma décrire les étapes du couplage excitation-contraction</w:t>
      </w:r>
    </w:p>
    <w:p w14:paraId="69AA1451" w14:textId="1B381224" w:rsidR="00D02488" w:rsidRDefault="00D02488" w:rsidP="00D02488">
      <w:pPr>
        <w:spacing w:line="240" w:lineRule="auto"/>
      </w:pPr>
      <w:r>
        <w:rPr>
          <w:noProof/>
        </w:rPr>
        <w:drawing>
          <wp:inline distT="0" distB="0" distL="0" distR="0" wp14:anchorId="5E7A6847" wp14:editId="093B040D">
            <wp:extent cx="4870450" cy="4013200"/>
            <wp:effectExtent l="0" t="0" r="6350" b="6350"/>
            <wp:docPr id="16604284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1084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C99F" w14:textId="77561CDD" w:rsidR="00774B07" w:rsidRPr="00D02488" w:rsidRDefault="00774B07" w:rsidP="00774B07">
      <w:pPr>
        <w:spacing w:line="276" w:lineRule="auto"/>
        <w:ind w:firstLine="2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CD00A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I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V</w:t>
      </w:r>
      <w:r w:rsidRPr="00CD00A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 xml:space="preserve">. 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Analyse de document</w:t>
      </w:r>
    </w:p>
    <w:p w14:paraId="3CDA636F" w14:textId="3D9E5068" w:rsidR="00D02488" w:rsidRPr="00774B07" w:rsidRDefault="00D02488" w:rsidP="00D02488">
      <w:pPr>
        <w:spacing w:after="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 w:rsidRPr="00774B07">
        <w:rPr>
          <w:rFonts w:ascii="Calibri" w:eastAsia="Times New Roman" w:hAnsi="Calibri" w:cs="Calibri"/>
          <w:color w:val="000000" w:themeColor="text1"/>
          <w:lang w:eastAsia="fr-FR"/>
        </w:rPr>
        <w:t>Un laboratoire étudie le curare dans l'objectif de l'utiliser en anesthésie.</w:t>
      </w:r>
    </w:p>
    <w:p w14:paraId="21256468" w14:textId="77777777" w:rsidR="00D02488" w:rsidRPr="00774B07" w:rsidRDefault="00D02488" w:rsidP="00D02488">
      <w:pPr>
        <w:spacing w:after="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</w:p>
    <w:p w14:paraId="32899D68" w14:textId="77777777" w:rsidR="00D02488" w:rsidRPr="00774B07" w:rsidRDefault="00D02488" w:rsidP="00D02488">
      <w:pPr>
        <w:spacing w:after="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 w:rsidRPr="00774B07">
        <w:rPr>
          <w:rFonts w:ascii="Calibri" w:eastAsia="Times New Roman" w:hAnsi="Calibri" w:cs="Calibri"/>
          <w:color w:val="000000" w:themeColor="text1"/>
          <w:lang w:eastAsia="fr-FR"/>
        </w:rPr>
        <w:lastRenderedPageBreak/>
        <w:t>Le curare est un poison provenant d'un arbuste dont les Indiens d'Amazonie imprègnent les pointes de leurs flèches pour la chasse, et qui entraîne la mort par asphyxie. </w:t>
      </w:r>
    </w:p>
    <w:p w14:paraId="64687E63" w14:textId="77777777" w:rsidR="00D02488" w:rsidRPr="00774B07" w:rsidRDefault="00D02488" w:rsidP="00D02488">
      <w:pPr>
        <w:spacing w:after="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</w:p>
    <w:p w14:paraId="17C5937A" w14:textId="77777777" w:rsidR="00D02488" w:rsidRPr="00774B07" w:rsidRDefault="00D02488" w:rsidP="00D02488">
      <w:pPr>
        <w:spacing w:after="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 w:rsidRPr="00774B07">
        <w:rPr>
          <w:rFonts w:ascii="Calibri" w:eastAsia="Times New Roman" w:hAnsi="Calibri" w:cs="Calibri"/>
          <w:color w:val="000000" w:themeColor="text1"/>
          <w:lang w:eastAsia="fr-FR"/>
        </w:rPr>
        <w:t>Au travers de cette étude nous chercherons à comprendre son fonctionnement et son intérêt médical en particulier pour les anesthésies.</w:t>
      </w:r>
    </w:p>
    <w:p w14:paraId="11B77E4C" w14:textId="77777777" w:rsidR="00D02488" w:rsidRPr="00774B07" w:rsidRDefault="00D02488" w:rsidP="00D02488">
      <w:pPr>
        <w:spacing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</w:p>
    <w:p w14:paraId="4DDCA1EE" w14:textId="77777777" w:rsidR="00774B07" w:rsidRPr="00774B07" w:rsidRDefault="00774B07" w:rsidP="00774B07">
      <w:pPr>
        <w:pStyle w:val="Titre3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2"/>
          <w:szCs w:val="22"/>
          <w:lang w:eastAsia="fr-FR"/>
        </w:rPr>
      </w:pPr>
      <w:r w:rsidRPr="00774B07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eastAsia="fr-FR"/>
        </w:rPr>
        <w:t>Document 1</w:t>
      </w:r>
      <w:r w:rsidRPr="00774B07">
        <w:rPr>
          <w:rFonts w:ascii="Calibri" w:eastAsia="Times New Roman" w:hAnsi="Calibri" w:cs="Calibri"/>
          <w:color w:val="000000" w:themeColor="text1"/>
          <w:sz w:val="22"/>
          <w:szCs w:val="22"/>
          <w:lang w:eastAsia="fr-FR"/>
        </w:rPr>
        <w:t> : Étude de l’impact du curare sur la contraction musculaire. On mesure l’amplitude de contraction d’un muscle isolé ( en unité arbitraire) au contact de différentes molécules ou dosages. Courbe 1 : en présence d’une dose d’acétylcholine courbes 2,3,4 en présence d’une dose d’acétylcholine et de curare à des doses croissantes</w:t>
      </w:r>
    </w:p>
    <w:p w14:paraId="243D0593" w14:textId="5DDB79D5" w:rsidR="00774B07" w:rsidRDefault="00774B07" w:rsidP="00774B07">
      <w:pPr>
        <w:spacing w:line="240" w:lineRule="auto"/>
      </w:pPr>
      <w:r>
        <w:rPr>
          <w:noProof/>
        </w:rPr>
        <w:drawing>
          <wp:inline distT="0" distB="0" distL="0" distR="0" wp14:anchorId="7C6F39BB" wp14:editId="5ED55698">
            <wp:extent cx="2915541" cy="2203450"/>
            <wp:effectExtent l="0" t="0" r="0" b="6350"/>
            <wp:docPr id="99101699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357393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57" cy="220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B9146" w14:textId="77777777" w:rsidR="00774B07" w:rsidRDefault="00774B07" w:rsidP="00774B07">
      <w:pPr>
        <w:spacing w:line="240" w:lineRule="auto"/>
      </w:pPr>
    </w:p>
    <w:p w14:paraId="5AD0FF19" w14:textId="104241AE" w:rsidR="00774B07" w:rsidRPr="00774B07" w:rsidRDefault="00774B07" w:rsidP="00774B07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fr-FR"/>
        </w:rPr>
      </w:pPr>
      <w:r w:rsidRPr="00774B07">
        <w:rPr>
          <w:rFonts w:ascii="Calibri" w:eastAsia="Times New Roman" w:hAnsi="Calibri" w:cs="Calibri"/>
          <w:b/>
          <w:bCs/>
          <w:color w:val="000000" w:themeColor="text1"/>
          <w:lang w:eastAsia="fr-FR"/>
        </w:rPr>
        <w:t>Document 2</w:t>
      </w:r>
      <w:r w:rsidRPr="00774B07">
        <w:rPr>
          <w:rFonts w:ascii="Calibri" w:eastAsia="Times New Roman" w:hAnsi="Calibri" w:cs="Calibri"/>
          <w:color w:val="000000" w:themeColor="text1"/>
          <w:lang w:eastAsia="fr-FR"/>
        </w:rPr>
        <w:t xml:space="preserve"> : Effet du curare sur l’activité d’une fibre musculaire. On mesure le potentiel membranaire d’une fibre musculaire à proximité d’une synapse entre un neurone moteur et une fibre </w:t>
      </w:r>
      <w:r w:rsidRPr="00774B07">
        <w:rPr>
          <w:rFonts w:ascii="Calibri" w:eastAsia="Times New Roman" w:hAnsi="Calibri" w:cs="Calibri"/>
          <w:color w:val="000000" w:themeColor="text1"/>
          <w:lang w:eastAsia="fr-FR"/>
        </w:rPr>
        <w:t>musculaire</w:t>
      </w:r>
      <w:r w:rsidRPr="00774B07">
        <w:rPr>
          <w:rFonts w:ascii="Calibri" w:eastAsia="Times New Roman" w:hAnsi="Calibri" w:cs="Calibri"/>
          <w:color w:val="000000" w:themeColor="text1"/>
          <w:lang w:eastAsia="fr-FR"/>
        </w:rPr>
        <w:t>. Cette mesure se fait à l’arrivée de potentiel d’action (PA*) dans le neurone moteur présynaptique en condition normale ou dans le cas d’une injection de curare dans la synapse</w:t>
      </w:r>
    </w:p>
    <w:p w14:paraId="689B4F61" w14:textId="77777777" w:rsidR="00774B07" w:rsidRDefault="00774B07" w:rsidP="00774B07">
      <w:pPr>
        <w:spacing w:after="240" w:line="240" w:lineRule="auto"/>
        <w:rPr>
          <w:rFonts w:ascii="Calibri" w:eastAsia="Times New Roman" w:hAnsi="Calibri" w:cs="Calibri"/>
          <w:b/>
          <w:bCs/>
          <w:color w:val="000000" w:themeColor="text1"/>
          <w:lang w:eastAsia="fr-FR"/>
        </w:rPr>
      </w:pPr>
      <w:r>
        <w:rPr>
          <w:noProof/>
        </w:rPr>
        <w:drawing>
          <wp:inline distT="0" distB="0" distL="0" distR="0" wp14:anchorId="5206B9F0" wp14:editId="2941322D">
            <wp:extent cx="2824967" cy="2241550"/>
            <wp:effectExtent l="0" t="0" r="0" b="6350"/>
            <wp:docPr id="63471595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02453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15" cy="22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1ED745AA" w14:textId="3C6422E4" w:rsidR="00774B07" w:rsidRPr="00774B07" w:rsidRDefault="00774B07" w:rsidP="00774B07">
      <w:pPr>
        <w:spacing w:after="24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 w:rsidRPr="00774B07">
        <w:rPr>
          <w:rFonts w:ascii="Calibri" w:eastAsia="Times New Roman" w:hAnsi="Calibri" w:cs="Calibri"/>
          <w:b/>
          <w:bCs/>
          <w:color w:val="000000" w:themeColor="text1"/>
          <w:lang w:eastAsia="fr-FR"/>
        </w:rPr>
        <w:t>Document 3</w:t>
      </w:r>
      <w:r w:rsidRPr="00774B07">
        <w:rPr>
          <w:rFonts w:ascii="Calibri" w:eastAsia="Times New Roman" w:hAnsi="Calibri" w:cs="Calibri"/>
          <w:color w:val="000000" w:themeColor="text1"/>
          <w:lang w:eastAsia="fr-FR"/>
        </w:rPr>
        <w:t xml:space="preserve"> : Analyse des interactions entre l’acétylcholine ou le curare avec le récepteur </w:t>
      </w:r>
      <w:proofErr w:type="spellStart"/>
      <w:r w:rsidRPr="00774B07">
        <w:rPr>
          <w:rFonts w:ascii="Calibri" w:eastAsia="Times New Roman" w:hAnsi="Calibri" w:cs="Calibri"/>
          <w:color w:val="000000" w:themeColor="text1"/>
          <w:lang w:eastAsia="fr-FR"/>
        </w:rPr>
        <w:t>AchBP</w:t>
      </w:r>
      <w:proofErr w:type="spellEnd"/>
      <w:r w:rsidRPr="00774B07">
        <w:rPr>
          <w:rFonts w:ascii="Calibri" w:eastAsia="Times New Roman" w:hAnsi="Calibri" w:cs="Calibri"/>
          <w:color w:val="000000" w:themeColor="text1"/>
          <w:lang w:eastAsia="fr-FR"/>
        </w:rPr>
        <w:t xml:space="preserve"> postsynaptique.</w:t>
      </w:r>
    </w:p>
    <w:p w14:paraId="43984D98" w14:textId="77777777" w:rsidR="00774B07" w:rsidRPr="00774B07" w:rsidRDefault="00774B07" w:rsidP="00774B07">
      <w:pPr>
        <w:spacing w:after="24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 w:rsidRPr="00774B07">
        <w:rPr>
          <w:rFonts w:ascii="Calibri" w:eastAsia="Times New Roman" w:hAnsi="Calibri" w:cs="Calibri"/>
          <w:color w:val="000000" w:themeColor="text1"/>
          <w:lang w:eastAsia="fr-FR"/>
        </w:rPr>
        <w:lastRenderedPageBreak/>
        <w:t xml:space="preserve">À gauche : La chaîne </w:t>
      </w:r>
      <w:proofErr w:type="spellStart"/>
      <w:r w:rsidRPr="00774B07">
        <w:rPr>
          <w:rFonts w:ascii="Calibri" w:eastAsia="Times New Roman" w:hAnsi="Calibri" w:cs="Calibri"/>
          <w:color w:val="000000" w:themeColor="text1"/>
          <w:lang w:eastAsia="fr-FR"/>
        </w:rPr>
        <w:t>AchBp</w:t>
      </w:r>
      <w:proofErr w:type="spellEnd"/>
      <w:r w:rsidRPr="00774B07">
        <w:rPr>
          <w:rFonts w:ascii="Calibri" w:eastAsia="Times New Roman" w:hAnsi="Calibri" w:cs="Calibri"/>
          <w:color w:val="000000" w:themeColor="text1"/>
          <w:lang w:eastAsia="fr-FR"/>
        </w:rPr>
        <w:t xml:space="preserve"> est affichée en bleu. L’ouverture du site de fixation à l’acétylcholine peut être visualisée par les acides aminés Trp147 et Cys190 repérés en jaune. Les deux molécules d’acétylcholine sont colorées en vert et affichées en sphères.</w:t>
      </w:r>
    </w:p>
    <w:p w14:paraId="44E59AF5" w14:textId="77777777" w:rsidR="00774B07" w:rsidRPr="00774B07" w:rsidRDefault="00774B07" w:rsidP="00774B07">
      <w:pPr>
        <w:spacing w:after="240" w:line="240" w:lineRule="auto"/>
        <w:rPr>
          <w:rFonts w:ascii="Calibri" w:eastAsia="Times New Roman" w:hAnsi="Calibri" w:cs="Calibri"/>
          <w:color w:val="000000" w:themeColor="text1"/>
          <w:lang w:eastAsia="fr-FR"/>
        </w:rPr>
      </w:pPr>
      <w:r w:rsidRPr="00774B07">
        <w:rPr>
          <w:rFonts w:ascii="Calibri" w:eastAsia="Times New Roman" w:hAnsi="Calibri" w:cs="Calibri"/>
          <w:color w:val="000000" w:themeColor="text1"/>
          <w:lang w:eastAsia="fr-FR"/>
        </w:rPr>
        <w:t xml:space="preserve">À droite : La chaîne </w:t>
      </w:r>
      <w:proofErr w:type="spellStart"/>
      <w:r w:rsidRPr="00774B07">
        <w:rPr>
          <w:rFonts w:ascii="Calibri" w:eastAsia="Times New Roman" w:hAnsi="Calibri" w:cs="Calibri"/>
          <w:color w:val="000000" w:themeColor="text1"/>
          <w:lang w:eastAsia="fr-FR"/>
        </w:rPr>
        <w:t>AchBp</w:t>
      </w:r>
      <w:proofErr w:type="spellEnd"/>
      <w:r w:rsidRPr="00774B07">
        <w:rPr>
          <w:rFonts w:ascii="Calibri" w:eastAsia="Times New Roman" w:hAnsi="Calibri" w:cs="Calibri"/>
          <w:color w:val="000000" w:themeColor="text1"/>
          <w:lang w:eastAsia="fr-FR"/>
        </w:rPr>
        <w:t xml:space="preserve"> est affichée en vert. L’ouverture du site de fixation à l’acétylcholine peut être visualisée par les acides aminés Trp145 et Cys188 repérés en jaune. Le curare est affiché en sphères.</w:t>
      </w:r>
    </w:p>
    <w:p w14:paraId="37768192" w14:textId="77777777" w:rsidR="00774B07" w:rsidRDefault="00774B07" w:rsidP="00774B07">
      <w:pPr>
        <w:spacing w:after="240" w:line="240" w:lineRule="auto"/>
        <w:rPr>
          <w:rFonts w:ascii="Arial" w:eastAsia="Arial" w:hAnsi="Arial" w:cs="Arial"/>
          <w:color w:val="000000" w:themeColor="text1"/>
        </w:rPr>
      </w:pPr>
    </w:p>
    <w:p w14:paraId="58558C57" w14:textId="06BBF864" w:rsidR="00774B07" w:rsidRDefault="00774B07" w:rsidP="00774B07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7180187" wp14:editId="044FDC1D">
            <wp:extent cx="2413000" cy="2286000"/>
            <wp:effectExtent l="0" t="0" r="6350" b="0"/>
            <wp:docPr id="184610452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060737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F93FA" wp14:editId="754790F8">
            <wp:extent cx="2254250" cy="2266950"/>
            <wp:effectExtent l="0" t="0" r="0" b="0"/>
            <wp:docPr id="161962375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708979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0E81" w14:textId="77777777" w:rsidR="00D02488" w:rsidRDefault="00D02488" w:rsidP="00D02488">
      <w:pPr>
        <w:spacing w:after="240" w:line="276" w:lineRule="auto"/>
        <w:rPr>
          <w:rFonts w:eastAsia="Times New Roman"/>
          <w:sz w:val="24"/>
          <w:szCs w:val="24"/>
          <w:lang w:eastAsia="fr-FR"/>
        </w:rPr>
      </w:pPr>
    </w:p>
    <w:p w14:paraId="4779A875" w14:textId="77777777" w:rsidR="00D02488" w:rsidRPr="00CD00AE" w:rsidRDefault="00D02488" w:rsidP="00D02488">
      <w:pPr>
        <w:spacing w:after="240" w:line="276" w:lineRule="auto"/>
        <w:rPr>
          <w:rFonts w:eastAsia="Times New Roman"/>
          <w:sz w:val="24"/>
          <w:szCs w:val="24"/>
          <w:lang w:eastAsia="fr-FR"/>
        </w:rPr>
      </w:pPr>
    </w:p>
    <w:p w14:paraId="200356DB" w14:textId="77777777" w:rsidR="00CD00AE" w:rsidRPr="00CD00AE" w:rsidRDefault="00CD00AE" w:rsidP="00D02488">
      <w:pPr>
        <w:spacing w:line="276" w:lineRule="auto"/>
        <w:rPr>
          <w:rFonts w:cstheme="minorHAnsi"/>
          <w:sz w:val="24"/>
          <w:szCs w:val="24"/>
        </w:rPr>
      </w:pPr>
    </w:p>
    <w:p w14:paraId="259A3E61" w14:textId="5AB7198B" w:rsidR="005B2641" w:rsidRPr="00CD00AE" w:rsidRDefault="005B2641" w:rsidP="00D02488">
      <w:pPr>
        <w:spacing w:line="276" w:lineRule="auto"/>
        <w:rPr>
          <w:rFonts w:cstheme="minorHAnsi"/>
          <w:sz w:val="24"/>
          <w:szCs w:val="24"/>
        </w:rPr>
      </w:pPr>
    </w:p>
    <w:p w14:paraId="3D5BC7AE" w14:textId="608358D7" w:rsidR="005B2641" w:rsidRPr="00CD00AE" w:rsidRDefault="005B2641" w:rsidP="00D02488">
      <w:pPr>
        <w:spacing w:line="276" w:lineRule="auto"/>
        <w:rPr>
          <w:rFonts w:cstheme="minorHAnsi"/>
          <w:sz w:val="24"/>
          <w:szCs w:val="24"/>
        </w:rPr>
      </w:pPr>
    </w:p>
    <w:p w14:paraId="5B264B7B" w14:textId="77777777" w:rsidR="00527828" w:rsidRPr="00CD00AE" w:rsidRDefault="00527828" w:rsidP="00D02488">
      <w:pPr>
        <w:spacing w:line="276" w:lineRule="auto"/>
        <w:rPr>
          <w:rFonts w:cstheme="minorHAnsi"/>
          <w:sz w:val="24"/>
          <w:szCs w:val="24"/>
        </w:rPr>
      </w:pPr>
    </w:p>
    <w:p w14:paraId="29F423CC" w14:textId="1C0817FD" w:rsidR="00527828" w:rsidRPr="00CD00AE" w:rsidRDefault="00527828" w:rsidP="00D02488">
      <w:pPr>
        <w:spacing w:line="276" w:lineRule="auto"/>
        <w:rPr>
          <w:rFonts w:cstheme="minorHAnsi"/>
          <w:sz w:val="24"/>
          <w:szCs w:val="24"/>
        </w:rPr>
      </w:pPr>
      <w:r w:rsidRPr="00CD00A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19EBE7" wp14:editId="7D8D1082">
            <wp:simplePos x="0" y="0"/>
            <wp:positionH relativeFrom="column">
              <wp:posOffset>7631430</wp:posOffset>
            </wp:positionH>
            <wp:positionV relativeFrom="paragraph">
              <wp:posOffset>-6972935</wp:posOffset>
            </wp:positionV>
            <wp:extent cx="5731510" cy="4377690"/>
            <wp:effectExtent l="0" t="0" r="2540" b="3810"/>
            <wp:wrapNone/>
            <wp:docPr id="1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D06D9C43-8C89-4120-8DCA-6E49B90B2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D06D9C43-8C89-4120-8DCA-6E49B90B28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9686"/>
                    <a:stretch/>
                  </pic:blipFill>
                  <pic:spPr>
                    <a:xfrm>
                      <a:off x="0" y="0"/>
                      <a:ext cx="573151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7828" w:rsidRPr="00CD00AE">
      <w:headerReference w:type="default" r:id="rId17"/>
      <w:footerReference w:type="default" r:id="rId1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08018" w14:textId="77777777" w:rsidR="007C52E3" w:rsidRDefault="007C52E3">
      <w:pPr>
        <w:spacing w:after="0" w:line="240" w:lineRule="auto"/>
      </w:pPr>
      <w:r>
        <w:separator/>
      </w:r>
    </w:p>
  </w:endnote>
  <w:endnote w:type="continuationSeparator" w:id="0">
    <w:p w14:paraId="19CDD06C" w14:textId="77777777" w:rsidR="007C52E3" w:rsidRDefault="007C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89EC90C" w14:paraId="4B56F3CE" w14:textId="77777777" w:rsidTr="289EC90C">
      <w:trPr>
        <w:trHeight w:val="300"/>
      </w:trPr>
      <w:tc>
        <w:tcPr>
          <w:tcW w:w="3005" w:type="dxa"/>
        </w:tcPr>
        <w:p w14:paraId="4B8C66DF" w14:textId="27CD2B42" w:rsidR="289EC90C" w:rsidRDefault="289EC90C" w:rsidP="289EC90C">
          <w:pPr>
            <w:pStyle w:val="En-tte"/>
            <w:ind w:left="-115"/>
          </w:pPr>
          <w:r>
            <w:t>2023-2024</w:t>
          </w:r>
        </w:p>
      </w:tc>
      <w:tc>
        <w:tcPr>
          <w:tcW w:w="3005" w:type="dxa"/>
        </w:tcPr>
        <w:p w14:paraId="2A1A9B3B" w14:textId="64F57484" w:rsidR="289EC90C" w:rsidRDefault="289EC90C" w:rsidP="289EC90C">
          <w:pPr>
            <w:pStyle w:val="En-tte"/>
            <w:jc w:val="center"/>
          </w:pPr>
        </w:p>
      </w:tc>
      <w:tc>
        <w:tcPr>
          <w:tcW w:w="3005" w:type="dxa"/>
        </w:tcPr>
        <w:p w14:paraId="72466ACA" w14:textId="66CA1ECF" w:rsidR="289EC90C" w:rsidRDefault="289EC90C" w:rsidP="289EC90C">
          <w:pPr>
            <w:pStyle w:val="En-tte"/>
            <w:ind w:right="-115"/>
            <w:jc w:val="right"/>
          </w:pPr>
        </w:p>
      </w:tc>
    </w:tr>
  </w:tbl>
  <w:p w14:paraId="70966C68" w14:textId="5F1F341C" w:rsidR="289EC90C" w:rsidRDefault="289EC90C" w:rsidP="289EC90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AA8F1" w14:textId="77777777" w:rsidR="007C52E3" w:rsidRDefault="007C52E3">
      <w:pPr>
        <w:spacing w:after="0" w:line="240" w:lineRule="auto"/>
      </w:pPr>
      <w:r>
        <w:separator/>
      </w:r>
    </w:p>
  </w:footnote>
  <w:footnote w:type="continuationSeparator" w:id="0">
    <w:p w14:paraId="5F26E809" w14:textId="77777777" w:rsidR="007C52E3" w:rsidRDefault="007C5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89EC90C" w14:paraId="573DDB6D" w14:textId="77777777" w:rsidTr="289EC90C">
      <w:trPr>
        <w:trHeight w:val="300"/>
      </w:trPr>
      <w:tc>
        <w:tcPr>
          <w:tcW w:w="3005" w:type="dxa"/>
        </w:tcPr>
        <w:p w14:paraId="62407E1A" w14:textId="6503E19C" w:rsidR="289EC90C" w:rsidRDefault="289EC90C" w:rsidP="289EC90C">
          <w:pPr>
            <w:pStyle w:val="En-tte"/>
            <w:rPr>
              <w:rFonts w:ascii="Arial" w:eastAsia="Arial" w:hAnsi="Arial" w:cs="Arial"/>
              <w:color w:val="000000" w:themeColor="text1"/>
            </w:rPr>
          </w:pPr>
          <w:r w:rsidRPr="289EC90C">
            <w:rPr>
              <w:rFonts w:ascii="Arial" w:eastAsia="Arial" w:hAnsi="Arial" w:cs="Arial"/>
              <w:color w:val="000000" w:themeColor="text1"/>
              <w:lang w:val="fr"/>
            </w:rPr>
            <w:t xml:space="preserve">UE Physiologie </w:t>
          </w:r>
          <w:proofErr w:type="spellStart"/>
          <w:r w:rsidRPr="289EC90C">
            <w:rPr>
              <w:rFonts w:ascii="Arial" w:eastAsia="Arial" w:hAnsi="Arial" w:cs="Arial"/>
              <w:color w:val="000000" w:themeColor="text1"/>
              <w:lang w:val="fr"/>
            </w:rPr>
            <w:t>LSpS</w:t>
          </w:r>
          <w:proofErr w:type="spellEnd"/>
        </w:p>
        <w:p w14:paraId="38A76582" w14:textId="64737D55" w:rsidR="289EC90C" w:rsidRDefault="289EC90C" w:rsidP="289EC90C">
          <w:pPr>
            <w:pStyle w:val="En-tte"/>
            <w:rPr>
              <w:rFonts w:ascii="Arial" w:eastAsia="Arial" w:hAnsi="Arial" w:cs="Arial"/>
              <w:color w:val="000000" w:themeColor="text1"/>
            </w:rPr>
          </w:pPr>
          <w:r w:rsidRPr="289EC90C">
            <w:rPr>
              <w:rFonts w:ascii="Arial" w:eastAsia="Arial" w:hAnsi="Arial" w:cs="Arial"/>
              <w:color w:val="000000" w:themeColor="text1"/>
              <w:lang w:val="fr"/>
            </w:rPr>
            <w:t>Marlène Gonzalez Sances</w:t>
          </w:r>
        </w:p>
        <w:p w14:paraId="01139A30" w14:textId="5756BB69" w:rsidR="289EC90C" w:rsidRDefault="289EC90C" w:rsidP="289EC90C">
          <w:pPr>
            <w:pStyle w:val="En-tte"/>
            <w:ind w:left="-115"/>
          </w:pPr>
        </w:p>
      </w:tc>
      <w:tc>
        <w:tcPr>
          <w:tcW w:w="3005" w:type="dxa"/>
        </w:tcPr>
        <w:p w14:paraId="1D21BDB8" w14:textId="31BAAADE" w:rsidR="289EC90C" w:rsidRDefault="289EC90C" w:rsidP="289EC90C">
          <w:pPr>
            <w:pStyle w:val="En-tte"/>
            <w:jc w:val="center"/>
          </w:pPr>
        </w:p>
      </w:tc>
      <w:tc>
        <w:tcPr>
          <w:tcW w:w="3005" w:type="dxa"/>
        </w:tcPr>
        <w:p w14:paraId="6C3AF8CB" w14:textId="20B5D3E9" w:rsidR="289EC90C" w:rsidRDefault="289EC90C" w:rsidP="289EC90C">
          <w:pPr>
            <w:pStyle w:val="En-tte"/>
            <w:ind w:right="-115"/>
            <w:jc w:val="right"/>
          </w:pPr>
        </w:p>
      </w:tc>
    </w:tr>
  </w:tbl>
  <w:p w14:paraId="08180155" w14:textId="42009691" w:rsidR="289EC90C" w:rsidRDefault="289EC90C" w:rsidP="289EC9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F36901"/>
    <w:multiLevelType w:val="hybridMultilevel"/>
    <w:tmpl w:val="35E87BB6"/>
    <w:lvl w:ilvl="0" w:tplc="96E69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B244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FA3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F01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223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022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7E4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9AD8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64CF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5D2D75"/>
    <w:multiLevelType w:val="hybridMultilevel"/>
    <w:tmpl w:val="59BE4A96"/>
    <w:lvl w:ilvl="0" w:tplc="E46C8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9EE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8C05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F261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BE2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BAB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3082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BEA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704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689E31"/>
    <w:multiLevelType w:val="hybridMultilevel"/>
    <w:tmpl w:val="A86EF9EA"/>
    <w:lvl w:ilvl="0" w:tplc="21CAB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A23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4A7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05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BA8F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16E6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8AA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BCC8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884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943C4"/>
    <w:multiLevelType w:val="hybridMultilevel"/>
    <w:tmpl w:val="CBF2C246"/>
    <w:lvl w:ilvl="0" w:tplc="819CA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DEBE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AA21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103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672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610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81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969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82DC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5215263">
    <w:abstractNumId w:val="2"/>
  </w:num>
  <w:num w:numId="2" w16cid:durableId="897280850">
    <w:abstractNumId w:val="1"/>
  </w:num>
  <w:num w:numId="3" w16cid:durableId="1876235515">
    <w:abstractNumId w:val="0"/>
  </w:num>
  <w:num w:numId="4" w16cid:durableId="1504708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AB"/>
    <w:rsid w:val="003820AB"/>
    <w:rsid w:val="00492A62"/>
    <w:rsid w:val="00527828"/>
    <w:rsid w:val="00536DD4"/>
    <w:rsid w:val="005B2641"/>
    <w:rsid w:val="0062381F"/>
    <w:rsid w:val="006B26DD"/>
    <w:rsid w:val="006D30A8"/>
    <w:rsid w:val="0073012E"/>
    <w:rsid w:val="00735715"/>
    <w:rsid w:val="00774B07"/>
    <w:rsid w:val="007B3C2F"/>
    <w:rsid w:val="007C52E3"/>
    <w:rsid w:val="00913BBF"/>
    <w:rsid w:val="00997EEF"/>
    <w:rsid w:val="00A01A09"/>
    <w:rsid w:val="00A0230A"/>
    <w:rsid w:val="00A941B0"/>
    <w:rsid w:val="00BF4A06"/>
    <w:rsid w:val="00CD00AE"/>
    <w:rsid w:val="00D02488"/>
    <w:rsid w:val="00E634F3"/>
    <w:rsid w:val="00F21030"/>
    <w:rsid w:val="0104A737"/>
    <w:rsid w:val="071BC35A"/>
    <w:rsid w:val="289EC90C"/>
    <w:rsid w:val="3FE37811"/>
    <w:rsid w:val="6CECB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E7C2D"/>
  <w15:chartTrackingRefBased/>
  <w15:docId w15:val="{5CE6D4A8-F068-4107-939D-62413B04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6DD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4B07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782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D0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semiHidden/>
    <w:rsid w:val="00774B07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0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GONZALEZ</dc:creator>
  <cp:keywords/>
  <dc:description/>
  <cp:lastModifiedBy>Marlène GONZALEZ</cp:lastModifiedBy>
  <cp:revision>4</cp:revision>
  <dcterms:created xsi:type="dcterms:W3CDTF">2024-06-20T08:07:00Z</dcterms:created>
  <dcterms:modified xsi:type="dcterms:W3CDTF">2024-06-20T08:26:00Z</dcterms:modified>
</cp:coreProperties>
</file>