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078E63" w14:textId="0E433B9F" w:rsidR="00CB70F6" w:rsidRDefault="77F27E9F" w:rsidP="77F27E9F">
      <w:pPr>
        <w:jc w:val="center"/>
        <w:rPr>
          <w:b/>
          <w:bCs/>
        </w:rPr>
      </w:pPr>
      <w:r w:rsidRPr="77F27E9F">
        <w:rPr>
          <w:b/>
          <w:bCs/>
        </w:rPr>
        <w:t>Le pancréas et le tissu adipeux</w:t>
      </w:r>
    </w:p>
    <w:p w14:paraId="5C575135" w14:textId="07935A1E" w:rsidR="77F27E9F" w:rsidRDefault="77F27E9F" w:rsidP="77F27E9F">
      <w:pPr>
        <w:jc w:val="center"/>
        <w:rPr>
          <w:b/>
          <w:bCs/>
        </w:rPr>
      </w:pPr>
    </w:p>
    <w:p w14:paraId="3A8F8A37" w14:textId="1433F718" w:rsidR="77F27E9F" w:rsidRDefault="77F27E9F" w:rsidP="77F27E9F">
      <w:pPr>
        <w:pStyle w:val="Paragraphedeliste"/>
        <w:numPr>
          <w:ilvl w:val="0"/>
          <w:numId w:val="5"/>
        </w:numPr>
        <w:rPr>
          <w:b/>
          <w:bCs/>
        </w:rPr>
      </w:pPr>
      <w:r w:rsidRPr="77F27E9F">
        <w:rPr>
          <w:b/>
          <w:bCs/>
        </w:rPr>
        <w:t>Physiologie</w:t>
      </w:r>
    </w:p>
    <w:p w14:paraId="19B10F66" w14:textId="65F658FC" w:rsidR="77F27E9F" w:rsidRDefault="77F27E9F" w:rsidP="77F27E9F">
      <w:r>
        <w:t>Justifier pourquoi le pancréas est une glande amphicrine</w:t>
      </w:r>
    </w:p>
    <w:p w14:paraId="501F1C4E" w14:textId="711B5A85" w:rsidR="77F27E9F" w:rsidRDefault="77F27E9F" w:rsidP="77F27E9F">
      <w:r>
        <w:t>Légender le document ci-dessous</w:t>
      </w:r>
    </w:p>
    <w:p w14:paraId="12AD9F5E" w14:textId="2257D82E" w:rsidR="77F27E9F" w:rsidRDefault="77F27E9F" w:rsidP="77F27E9F">
      <w:r>
        <w:rPr>
          <w:noProof/>
        </w:rPr>
        <w:drawing>
          <wp:inline distT="0" distB="0" distL="0" distR="0" wp14:anchorId="4E27BE7D" wp14:editId="62A54018">
            <wp:extent cx="2547342" cy="3143250"/>
            <wp:effectExtent l="0" t="0" r="0" b="0"/>
            <wp:docPr id="1066197696" name="Image 1066197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47342" cy="3143250"/>
                    </a:xfrm>
                    <a:prstGeom prst="rect">
                      <a:avLst/>
                    </a:prstGeom>
                  </pic:spPr>
                </pic:pic>
              </a:graphicData>
            </a:graphic>
          </wp:inline>
        </w:drawing>
      </w:r>
    </w:p>
    <w:p w14:paraId="69E93695" w14:textId="49E5E30E" w:rsidR="77F27E9F" w:rsidRDefault="77F27E9F" w:rsidP="77F27E9F">
      <w:r>
        <w:t>Donner  la  composition  du  suc  pancréatique  et  préciser  les  cellules  sécrétant  les  différents composants</w:t>
      </w:r>
    </w:p>
    <w:p w14:paraId="7A14C5CF" w14:textId="2D22C443" w:rsidR="77F27E9F" w:rsidRDefault="77F27E9F" w:rsidP="77F27E9F">
      <w:r>
        <w:t>Rappeler l’importance de l’insuline et du glucagon dans le foie, muscle et tissu adipeux.</w:t>
      </w:r>
    </w:p>
    <w:p w14:paraId="7DB61229" w14:textId="74E7DEF6" w:rsidR="00D577EB" w:rsidRDefault="00D577EB" w:rsidP="77F27E9F">
      <w:r>
        <w:t>Quelles sont les caractéristiques du tissu adipeux ?</w:t>
      </w:r>
    </w:p>
    <w:p w14:paraId="1D478A7F" w14:textId="1D3FA35E" w:rsidR="00D577EB" w:rsidRDefault="00D577EB" w:rsidP="77F27E9F">
      <w:r>
        <w:t>Quels sont les roles du tissu adipeux ?</w:t>
      </w:r>
    </w:p>
    <w:p w14:paraId="7AEACD46" w14:textId="14946F05" w:rsidR="00D577EB" w:rsidRDefault="004421E3" w:rsidP="77F27E9F">
      <w:r>
        <w:t xml:space="preserve">Définir l’obésité quels sont les critères </w:t>
      </w:r>
      <w:r w:rsidR="005D782D">
        <w:t>de détermination ?</w:t>
      </w:r>
    </w:p>
    <w:p w14:paraId="6895C7CC" w14:textId="2AC68D4C" w:rsidR="005D782D" w:rsidRDefault="005D782D" w:rsidP="77F27E9F">
      <w:r>
        <w:t>Expliquer simplement le lien entre obésité et diabète de type II</w:t>
      </w:r>
    </w:p>
    <w:p w14:paraId="69909B9D" w14:textId="23362C84" w:rsidR="005D782D" w:rsidRDefault="005F1C85" w:rsidP="77F27E9F">
      <w:r>
        <w:t xml:space="preserve">Définir le diabète </w:t>
      </w:r>
    </w:p>
    <w:p w14:paraId="41613AED" w14:textId="472F3EC7" w:rsidR="005F1C85" w:rsidRDefault="005F1C85" w:rsidP="77F27E9F">
      <w:r>
        <w:t xml:space="preserve">Expliquer la différence entre diabète de type I et diabète de type II </w:t>
      </w:r>
    </w:p>
    <w:p w14:paraId="1AA726BD" w14:textId="77777777" w:rsidR="004421E3" w:rsidRDefault="004421E3" w:rsidP="77F27E9F"/>
    <w:p w14:paraId="0C8FE640" w14:textId="3BEF6673" w:rsidR="77F27E9F" w:rsidRDefault="77F27E9F" w:rsidP="77F27E9F"/>
    <w:p w14:paraId="43C1F3AF" w14:textId="3E223E88" w:rsidR="77F27E9F" w:rsidRDefault="77F27E9F" w:rsidP="77F27E9F">
      <w:pPr>
        <w:pStyle w:val="Paragraphedeliste"/>
        <w:numPr>
          <w:ilvl w:val="0"/>
          <w:numId w:val="5"/>
        </w:numPr>
        <w:rPr>
          <w:b/>
          <w:bCs/>
        </w:rPr>
      </w:pPr>
      <w:r w:rsidRPr="77F27E9F">
        <w:rPr>
          <w:b/>
          <w:bCs/>
        </w:rPr>
        <w:t>Etude sur l’origine de l’épidémie d’obésité</w:t>
      </w:r>
    </w:p>
    <w:p w14:paraId="244DC2EF" w14:textId="1546C966" w:rsidR="77F27E9F" w:rsidRDefault="77F27E9F" w:rsidP="77F27E9F">
      <w:pPr>
        <w:spacing w:line="257" w:lineRule="auto"/>
      </w:pPr>
      <w:r w:rsidRPr="77F27E9F">
        <w:rPr>
          <w:rFonts w:ascii="Calibri" w:eastAsia="Calibri" w:hAnsi="Calibri" w:cs="Calibri"/>
          <w:b/>
          <w:bCs/>
        </w:rPr>
        <w:t>Étude de l’épidémie d’obésité chez l’Homme</w:t>
      </w:r>
    </w:p>
    <w:p w14:paraId="45B380CD" w14:textId="70BF23ED" w:rsidR="77F27E9F" w:rsidRDefault="77F27E9F" w:rsidP="77F27E9F">
      <w:pPr>
        <w:spacing w:line="257" w:lineRule="auto"/>
        <w:jc w:val="both"/>
      </w:pPr>
      <w:r w:rsidRPr="77F27E9F">
        <w:rPr>
          <w:rFonts w:ascii="Calibri" w:eastAsia="Calibri" w:hAnsi="Calibri" w:cs="Calibri"/>
        </w:rPr>
        <w:t>L’actuelle épidémie d’obésité chez l’Homme, et ses conséquences en termes de santé publique, ont conduit depuis quelques dizaines d’années les chercheurs à s’intéresser aux mécanismes de contrôle de la masse pondérale. Pour cela différents modèles de souris obèses ont été étudiés.</w:t>
      </w:r>
    </w:p>
    <w:p w14:paraId="3252CC83" w14:textId="78E1C0D4" w:rsidR="77F27E9F" w:rsidRDefault="77F27E9F" w:rsidP="77F27E9F">
      <w:pPr>
        <w:spacing w:line="257" w:lineRule="auto"/>
        <w:jc w:val="both"/>
      </w:pPr>
      <w:r w:rsidRPr="77F27E9F">
        <w:rPr>
          <w:rFonts w:ascii="Calibri" w:eastAsia="Calibri" w:hAnsi="Calibri" w:cs="Calibri"/>
          <w:b/>
          <w:bCs/>
        </w:rPr>
        <w:t xml:space="preserve">Phénotype des souris ob/ob et db/db : </w:t>
      </w:r>
      <w:r w:rsidRPr="77F27E9F">
        <w:rPr>
          <w:rFonts w:ascii="Calibri" w:eastAsia="Calibri" w:hAnsi="Calibri" w:cs="Calibri"/>
        </w:rPr>
        <w:t>Deux lignées naturelles de souris obèses ont été découvertes dans les années 1960. Les études génétiques de l’époque ont montré que chaque souche était homozygote pour une mutation dans un seul gène, les deux gènes ayant été baptisés OB (obèses) et DB (obèses diabétiques). Les deux types de souris sont obèses, hyperphagiques (elles mangent davantage que les souris sauvages), et présentent un diabète plus ou moins prononcé.</w:t>
      </w:r>
    </w:p>
    <w:p w14:paraId="20B946F0" w14:textId="71D69300" w:rsidR="77F27E9F" w:rsidRDefault="77F27E9F" w:rsidP="77F27E9F">
      <w:pPr>
        <w:spacing w:line="257" w:lineRule="auto"/>
      </w:pPr>
      <w:r>
        <w:rPr>
          <w:noProof/>
        </w:rPr>
        <w:drawing>
          <wp:inline distT="0" distB="0" distL="0" distR="0" wp14:anchorId="73B27889" wp14:editId="421960D9">
            <wp:extent cx="4572000" cy="1095375"/>
            <wp:effectExtent l="0" t="0" r="0" b="0"/>
            <wp:docPr id="1952590368" name="Image 195259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72000" cy="1095375"/>
                    </a:xfrm>
                    <a:prstGeom prst="rect">
                      <a:avLst/>
                    </a:prstGeom>
                  </pic:spPr>
                </pic:pic>
              </a:graphicData>
            </a:graphic>
          </wp:inline>
        </w:drawing>
      </w:r>
    </w:p>
    <w:p w14:paraId="7EEEC6D6" w14:textId="6DBD8F8A" w:rsidR="77F27E9F" w:rsidRDefault="77F27E9F" w:rsidP="77F27E9F">
      <w:pPr>
        <w:spacing w:line="257" w:lineRule="auto"/>
      </w:pPr>
      <w:r w:rsidRPr="77F27E9F">
        <w:rPr>
          <w:rFonts w:ascii="Calibri" w:eastAsia="Calibri" w:hAnsi="Calibri" w:cs="Calibri"/>
          <w:b/>
          <w:bCs/>
        </w:rPr>
        <w:t xml:space="preserve"> </w:t>
      </w:r>
    </w:p>
    <w:p w14:paraId="17EF08B9" w14:textId="7135EF09" w:rsidR="77F27E9F" w:rsidRDefault="77F27E9F" w:rsidP="77F27E9F">
      <w:pPr>
        <w:spacing w:line="257" w:lineRule="auto"/>
      </w:pPr>
      <w:r w:rsidRPr="77F27E9F">
        <w:rPr>
          <w:rFonts w:ascii="Calibri" w:eastAsia="Calibri" w:hAnsi="Calibri" w:cs="Calibri"/>
          <w:b/>
          <w:bCs/>
        </w:rPr>
        <w:t xml:space="preserve">Expériences de parabioses : </w:t>
      </w:r>
      <w:r w:rsidRPr="77F27E9F">
        <w:rPr>
          <w:rFonts w:ascii="Calibri" w:eastAsia="Calibri" w:hAnsi="Calibri" w:cs="Calibri"/>
        </w:rPr>
        <w:t>Des études historiques, réalisées dans les années 1960, ont consisté à effectuer des parabioses, c’est-à-dire à mettre en communication la circulation sanguine de deux souris issues des souches étudiées, ce qui est possible car elles sont toutes de même fond génétique (lignée caractérisée notamment par une couleur noire) et ne présentent donc pas de phénomène de rejet de greffe. La parabiose consiste à couper puis accoler la peau des animaux de l’épaule à la hanche, la cicatrisation assurant une interpénétration des vaisseaux sanguins sous-cutanés. La prise de nourriture et l’évolution de la masse pondérale des animaux ont été étudiées, en s’assurant que les deux partenaires d’une même paire avaient accès de la même manière à la nourriture. Les résultats obtenus sont résumés sur la figure suivante, ou +/+ représente une souris de génotype sauvage :</w:t>
      </w:r>
    </w:p>
    <w:p w14:paraId="0244C48B" w14:textId="4A3C0645" w:rsidR="77F27E9F" w:rsidRDefault="77F27E9F" w:rsidP="77F27E9F">
      <w:pPr>
        <w:spacing w:line="257" w:lineRule="auto"/>
        <w:jc w:val="both"/>
      </w:pPr>
      <w:r>
        <w:rPr>
          <w:noProof/>
        </w:rPr>
        <w:drawing>
          <wp:inline distT="0" distB="0" distL="0" distR="0" wp14:anchorId="5713A03A" wp14:editId="13446668">
            <wp:extent cx="4572000" cy="2590800"/>
            <wp:effectExtent l="0" t="0" r="0" b="0"/>
            <wp:docPr id="1781984233" name="Image 178198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2000" cy="2590800"/>
                    </a:xfrm>
                    <a:prstGeom prst="rect">
                      <a:avLst/>
                    </a:prstGeom>
                  </pic:spPr>
                </pic:pic>
              </a:graphicData>
            </a:graphic>
          </wp:inline>
        </w:drawing>
      </w:r>
    </w:p>
    <w:p w14:paraId="08B5BA81" w14:textId="4E6561D0" w:rsidR="77F27E9F" w:rsidRDefault="77F27E9F" w:rsidP="77F27E9F">
      <w:pPr>
        <w:spacing w:line="257" w:lineRule="auto"/>
      </w:pPr>
      <w:r w:rsidRPr="77F27E9F">
        <w:rPr>
          <w:rFonts w:ascii="Calibri" w:eastAsia="Calibri" w:hAnsi="Calibri" w:cs="Calibri"/>
          <w:b/>
          <w:bCs/>
        </w:rPr>
        <w:t>Analyser les documents ci-dessus. Conclure sur les mécanismes expliquant les phénotypes des souris ob/ob et db/db et à l’aide de vos connaissances identifier les gènes OB et DB. Proposer une hypothèse en se basant sur ces résultats pour expliquer l’épidémie d’obésité chez l’Homme.</w:t>
      </w:r>
    </w:p>
    <w:p w14:paraId="4AB623BF" w14:textId="1E0DCB00" w:rsidR="77F27E9F" w:rsidRDefault="77F27E9F" w:rsidP="77F27E9F"/>
    <w:p w14:paraId="0B29A946" w14:textId="297D1471" w:rsidR="77F27E9F" w:rsidRDefault="77F27E9F" w:rsidP="77F27E9F"/>
    <w:p w14:paraId="24DE809E" w14:textId="4ABEE30A" w:rsidR="77F27E9F" w:rsidRDefault="77F27E9F" w:rsidP="77F27E9F"/>
    <w:p w14:paraId="3CD6300A" w14:textId="5FD9E224" w:rsidR="77F27E9F" w:rsidRDefault="77F27E9F" w:rsidP="77F27E9F">
      <w:pPr>
        <w:pStyle w:val="Paragraphedeliste"/>
        <w:numPr>
          <w:ilvl w:val="0"/>
          <w:numId w:val="5"/>
        </w:numPr>
        <w:rPr>
          <w:b/>
          <w:bCs/>
        </w:rPr>
      </w:pPr>
      <w:r w:rsidRPr="77F27E9F">
        <w:rPr>
          <w:b/>
          <w:bCs/>
        </w:rPr>
        <w:t>Initiation à la pathologie</w:t>
      </w:r>
    </w:p>
    <w:p w14:paraId="3E71FA85" w14:textId="4A92214A" w:rsidR="77F27E9F" w:rsidRDefault="77F27E9F" w:rsidP="77F27E9F">
      <w:r>
        <w:t xml:space="preserve">Le diabète de type I est une pathologie auto-immune provoquant une carence en insuline et des hyperglycémie chroniques importantes et durables. </w:t>
      </w:r>
    </w:p>
    <w:p w14:paraId="2D917299" w14:textId="51C086A3" w:rsidR="77F27E9F" w:rsidRDefault="77F27E9F" w:rsidP="77F27E9F">
      <w:pPr>
        <w:pStyle w:val="Paragraphedeliste"/>
        <w:numPr>
          <w:ilvl w:val="0"/>
          <w:numId w:val="3"/>
        </w:numPr>
      </w:pPr>
      <w:r>
        <w:t xml:space="preserve">A partir de vos connaissances deviner les conséquences d’une carence en insuline sur le métabolisme. </w:t>
      </w:r>
    </w:p>
    <w:p w14:paraId="55DE4A5C" w14:textId="2B778BD9" w:rsidR="77F27E9F" w:rsidRDefault="77F27E9F" w:rsidP="77F27E9F">
      <w:r>
        <w:t xml:space="preserve">Le diabète de type I est caractérisé car le syndrome cardinal : polydypsie, polyurie et polyphagie. </w:t>
      </w:r>
    </w:p>
    <w:p w14:paraId="789D73C2" w14:textId="2AF65620" w:rsidR="77F27E9F" w:rsidRDefault="77F27E9F" w:rsidP="77F27E9F">
      <w:pPr>
        <w:pStyle w:val="Paragraphedeliste"/>
        <w:numPr>
          <w:ilvl w:val="0"/>
          <w:numId w:val="1"/>
        </w:numPr>
      </w:pPr>
      <w:r>
        <w:t>Déifnir ces 3 termes</w:t>
      </w:r>
    </w:p>
    <w:p w14:paraId="0999536F" w14:textId="38095886" w:rsidR="77F27E9F" w:rsidRDefault="77F27E9F" w:rsidP="77F27E9F">
      <w:pPr>
        <w:pStyle w:val="Paragraphedeliste"/>
        <w:numPr>
          <w:ilvl w:val="0"/>
          <w:numId w:val="1"/>
        </w:numPr>
      </w:pPr>
      <w:r>
        <w:t>Expliquer  pourquoi les hyperglycémies provoquent ses symptômes</w:t>
      </w:r>
    </w:p>
    <w:p w14:paraId="3E3DD9A4" w14:textId="301EC17F" w:rsidR="77F27E9F" w:rsidRDefault="77F27E9F" w:rsidP="77F27E9F"/>
    <w:p w14:paraId="00503A36" w14:textId="34D28645" w:rsidR="77F27E9F" w:rsidRDefault="77F27E9F" w:rsidP="77F27E9F"/>
    <w:p w14:paraId="77528A8B" w14:textId="118227BB" w:rsidR="77F27E9F" w:rsidRDefault="77F27E9F" w:rsidP="77F27E9F">
      <w:r>
        <w:t>Expliquer le lien entre une leptino-résistance et une insulino-résistance</w:t>
      </w:r>
    </w:p>
    <w:p w14:paraId="6FF2E1C2" w14:textId="3FCFF263" w:rsidR="77F27E9F" w:rsidRDefault="77F27E9F" w:rsidP="77F27E9F"/>
    <w:p w14:paraId="70DBFE06" w14:textId="58A9D57A" w:rsidR="77F27E9F" w:rsidRDefault="77F27E9F" w:rsidP="77F27E9F">
      <w:r>
        <w:t>Conclure sur l’impact d’une insuffisance pancréatique exocrine sur l’organisme</w:t>
      </w:r>
    </w:p>
    <w:p w14:paraId="4C49A733" w14:textId="305602D7" w:rsidR="77F27E9F" w:rsidRDefault="77F27E9F" w:rsidP="77F27E9F">
      <w:r>
        <w:t>Conclure sur l’impact d’une insuffisance pancréatique endocrine sur l’organisme</w:t>
      </w:r>
    </w:p>
    <w:p w14:paraId="4B36A1BE" w14:textId="0027AA1C" w:rsidR="77F27E9F" w:rsidRDefault="77F27E9F" w:rsidP="77F27E9F"/>
    <w:p w14:paraId="18136B06" w14:textId="60CE5BA9" w:rsidR="77F27E9F" w:rsidRDefault="77F27E9F" w:rsidP="77F27E9F"/>
    <w:p w14:paraId="247414F3" w14:textId="428825CB" w:rsidR="77F27E9F" w:rsidRDefault="77F27E9F" w:rsidP="77F27E9F"/>
    <w:sectPr w:rsidR="77F27E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E81F1FC"/>
    <w:multiLevelType w:val="hybridMultilevel"/>
    <w:tmpl w:val="FFFFFFFF"/>
    <w:lvl w:ilvl="0" w:tplc="102225BA">
      <w:start w:val="1"/>
      <w:numFmt w:val="bullet"/>
      <w:lvlText w:val=""/>
      <w:lvlJc w:val="left"/>
      <w:pPr>
        <w:ind w:left="720" w:hanging="360"/>
      </w:pPr>
      <w:rPr>
        <w:rFonts w:ascii="Symbol" w:hAnsi="Symbol" w:hint="default"/>
      </w:rPr>
    </w:lvl>
    <w:lvl w:ilvl="1" w:tplc="B7F4798E">
      <w:start w:val="1"/>
      <w:numFmt w:val="bullet"/>
      <w:lvlText w:val="o"/>
      <w:lvlJc w:val="left"/>
      <w:pPr>
        <w:ind w:left="1440" w:hanging="360"/>
      </w:pPr>
      <w:rPr>
        <w:rFonts w:ascii="Courier New" w:hAnsi="Courier New" w:hint="default"/>
      </w:rPr>
    </w:lvl>
    <w:lvl w:ilvl="2" w:tplc="C19C0FFA">
      <w:start w:val="1"/>
      <w:numFmt w:val="bullet"/>
      <w:lvlText w:val=""/>
      <w:lvlJc w:val="left"/>
      <w:pPr>
        <w:ind w:left="2160" w:hanging="360"/>
      </w:pPr>
      <w:rPr>
        <w:rFonts w:ascii="Wingdings" w:hAnsi="Wingdings" w:hint="default"/>
      </w:rPr>
    </w:lvl>
    <w:lvl w:ilvl="3" w:tplc="48E29218">
      <w:start w:val="1"/>
      <w:numFmt w:val="bullet"/>
      <w:lvlText w:val=""/>
      <w:lvlJc w:val="left"/>
      <w:pPr>
        <w:ind w:left="2880" w:hanging="360"/>
      </w:pPr>
      <w:rPr>
        <w:rFonts w:ascii="Symbol" w:hAnsi="Symbol" w:hint="default"/>
      </w:rPr>
    </w:lvl>
    <w:lvl w:ilvl="4" w:tplc="2864E8DC">
      <w:start w:val="1"/>
      <w:numFmt w:val="bullet"/>
      <w:lvlText w:val="o"/>
      <w:lvlJc w:val="left"/>
      <w:pPr>
        <w:ind w:left="3600" w:hanging="360"/>
      </w:pPr>
      <w:rPr>
        <w:rFonts w:ascii="Courier New" w:hAnsi="Courier New" w:hint="default"/>
      </w:rPr>
    </w:lvl>
    <w:lvl w:ilvl="5" w:tplc="0094663A">
      <w:start w:val="1"/>
      <w:numFmt w:val="bullet"/>
      <w:lvlText w:val=""/>
      <w:lvlJc w:val="left"/>
      <w:pPr>
        <w:ind w:left="4320" w:hanging="360"/>
      </w:pPr>
      <w:rPr>
        <w:rFonts w:ascii="Wingdings" w:hAnsi="Wingdings" w:hint="default"/>
      </w:rPr>
    </w:lvl>
    <w:lvl w:ilvl="6" w:tplc="579A29F0">
      <w:start w:val="1"/>
      <w:numFmt w:val="bullet"/>
      <w:lvlText w:val=""/>
      <w:lvlJc w:val="left"/>
      <w:pPr>
        <w:ind w:left="5040" w:hanging="360"/>
      </w:pPr>
      <w:rPr>
        <w:rFonts w:ascii="Symbol" w:hAnsi="Symbol" w:hint="default"/>
      </w:rPr>
    </w:lvl>
    <w:lvl w:ilvl="7" w:tplc="4666429C">
      <w:start w:val="1"/>
      <w:numFmt w:val="bullet"/>
      <w:lvlText w:val="o"/>
      <w:lvlJc w:val="left"/>
      <w:pPr>
        <w:ind w:left="5760" w:hanging="360"/>
      </w:pPr>
      <w:rPr>
        <w:rFonts w:ascii="Courier New" w:hAnsi="Courier New" w:hint="default"/>
      </w:rPr>
    </w:lvl>
    <w:lvl w:ilvl="8" w:tplc="B1825998">
      <w:start w:val="1"/>
      <w:numFmt w:val="bullet"/>
      <w:lvlText w:val=""/>
      <w:lvlJc w:val="left"/>
      <w:pPr>
        <w:ind w:left="6480" w:hanging="360"/>
      </w:pPr>
      <w:rPr>
        <w:rFonts w:ascii="Wingdings" w:hAnsi="Wingdings" w:hint="default"/>
      </w:rPr>
    </w:lvl>
  </w:abstractNum>
  <w:abstractNum w:abstractNumId="1" w15:restartNumberingAfterBreak="0">
    <w:nsid w:val="4EEA8507"/>
    <w:multiLevelType w:val="hybridMultilevel"/>
    <w:tmpl w:val="FFFFFFFF"/>
    <w:lvl w:ilvl="0" w:tplc="CEF89FEA">
      <w:start w:val="1"/>
      <w:numFmt w:val="decimal"/>
      <w:lvlText w:val="%1."/>
      <w:lvlJc w:val="left"/>
      <w:pPr>
        <w:ind w:left="720" w:hanging="360"/>
      </w:pPr>
    </w:lvl>
    <w:lvl w:ilvl="1" w:tplc="6B004FC2">
      <w:start w:val="1"/>
      <w:numFmt w:val="lowerLetter"/>
      <w:lvlText w:val="%2."/>
      <w:lvlJc w:val="left"/>
      <w:pPr>
        <w:ind w:left="1440" w:hanging="360"/>
      </w:pPr>
    </w:lvl>
    <w:lvl w:ilvl="2" w:tplc="2B7A6B18">
      <w:start w:val="1"/>
      <w:numFmt w:val="lowerRoman"/>
      <w:lvlText w:val="%3."/>
      <w:lvlJc w:val="right"/>
      <w:pPr>
        <w:ind w:left="2160" w:hanging="180"/>
      </w:pPr>
    </w:lvl>
    <w:lvl w:ilvl="3" w:tplc="E0B2BF44">
      <w:start w:val="1"/>
      <w:numFmt w:val="decimal"/>
      <w:lvlText w:val="%4."/>
      <w:lvlJc w:val="left"/>
      <w:pPr>
        <w:ind w:left="2880" w:hanging="360"/>
      </w:pPr>
    </w:lvl>
    <w:lvl w:ilvl="4" w:tplc="03C626E2">
      <w:start w:val="1"/>
      <w:numFmt w:val="lowerLetter"/>
      <w:lvlText w:val="%5."/>
      <w:lvlJc w:val="left"/>
      <w:pPr>
        <w:ind w:left="3600" w:hanging="360"/>
      </w:pPr>
    </w:lvl>
    <w:lvl w:ilvl="5" w:tplc="2AC8BC98">
      <w:start w:val="1"/>
      <w:numFmt w:val="lowerRoman"/>
      <w:lvlText w:val="%6."/>
      <w:lvlJc w:val="right"/>
      <w:pPr>
        <w:ind w:left="4320" w:hanging="180"/>
      </w:pPr>
    </w:lvl>
    <w:lvl w:ilvl="6" w:tplc="BC686776">
      <w:start w:val="1"/>
      <w:numFmt w:val="decimal"/>
      <w:lvlText w:val="%7."/>
      <w:lvlJc w:val="left"/>
      <w:pPr>
        <w:ind w:left="5040" w:hanging="360"/>
      </w:pPr>
    </w:lvl>
    <w:lvl w:ilvl="7" w:tplc="A156D342">
      <w:start w:val="1"/>
      <w:numFmt w:val="lowerLetter"/>
      <w:lvlText w:val="%8."/>
      <w:lvlJc w:val="left"/>
      <w:pPr>
        <w:ind w:left="5760" w:hanging="360"/>
      </w:pPr>
    </w:lvl>
    <w:lvl w:ilvl="8" w:tplc="3DD6BB52">
      <w:start w:val="1"/>
      <w:numFmt w:val="lowerRoman"/>
      <w:lvlText w:val="%9."/>
      <w:lvlJc w:val="right"/>
      <w:pPr>
        <w:ind w:left="6480" w:hanging="180"/>
      </w:pPr>
    </w:lvl>
  </w:abstractNum>
  <w:abstractNum w:abstractNumId="2" w15:restartNumberingAfterBreak="0">
    <w:nsid w:val="5EFF477A"/>
    <w:multiLevelType w:val="hybridMultilevel"/>
    <w:tmpl w:val="FFFFFFFF"/>
    <w:lvl w:ilvl="0" w:tplc="6A64F038">
      <w:start w:val="1"/>
      <w:numFmt w:val="bullet"/>
      <w:lvlText w:val=""/>
      <w:lvlJc w:val="left"/>
      <w:pPr>
        <w:ind w:left="720" w:hanging="360"/>
      </w:pPr>
      <w:rPr>
        <w:rFonts w:ascii="Symbol" w:hAnsi="Symbol" w:hint="default"/>
      </w:rPr>
    </w:lvl>
    <w:lvl w:ilvl="1" w:tplc="43C8A984">
      <w:start w:val="1"/>
      <w:numFmt w:val="bullet"/>
      <w:lvlText w:val="o"/>
      <w:lvlJc w:val="left"/>
      <w:pPr>
        <w:ind w:left="1440" w:hanging="360"/>
      </w:pPr>
      <w:rPr>
        <w:rFonts w:ascii="Courier New" w:hAnsi="Courier New" w:hint="default"/>
      </w:rPr>
    </w:lvl>
    <w:lvl w:ilvl="2" w:tplc="B964B738">
      <w:start w:val="1"/>
      <w:numFmt w:val="bullet"/>
      <w:lvlText w:val=""/>
      <w:lvlJc w:val="left"/>
      <w:pPr>
        <w:ind w:left="2160" w:hanging="360"/>
      </w:pPr>
      <w:rPr>
        <w:rFonts w:ascii="Wingdings" w:hAnsi="Wingdings" w:hint="default"/>
      </w:rPr>
    </w:lvl>
    <w:lvl w:ilvl="3" w:tplc="4C943BE4">
      <w:start w:val="1"/>
      <w:numFmt w:val="bullet"/>
      <w:lvlText w:val=""/>
      <w:lvlJc w:val="left"/>
      <w:pPr>
        <w:ind w:left="2880" w:hanging="360"/>
      </w:pPr>
      <w:rPr>
        <w:rFonts w:ascii="Symbol" w:hAnsi="Symbol" w:hint="default"/>
      </w:rPr>
    </w:lvl>
    <w:lvl w:ilvl="4" w:tplc="F93E713E">
      <w:start w:val="1"/>
      <w:numFmt w:val="bullet"/>
      <w:lvlText w:val="o"/>
      <w:lvlJc w:val="left"/>
      <w:pPr>
        <w:ind w:left="3600" w:hanging="360"/>
      </w:pPr>
      <w:rPr>
        <w:rFonts w:ascii="Courier New" w:hAnsi="Courier New" w:hint="default"/>
      </w:rPr>
    </w:lvl>
    <w:lvl w:ilvl="5" w:tplc="E55CB422">
      <w:start w:val="1"/>
      <w:numFmt w:val="bullet"/>
      <w:lvlText w:val=""/>
      <w:lvlJc w:val="left"/>
      <w:pPr>
        <w:ind w:left="4320" w:hanging="360"/>
      </w:pPr>
      <w:rPr>
        <w:rFonts w:ascii="Wingdings" w:hAnsi="Wingdings" w:hint="default"/>
      </w:rPr>
    </w:lvl>
    <w:lvl w:ilvl="6" w:tplc="EA0C93EC">
      <w:start w:val="1"/>
      <w:numFmt w:val="bullet"/>
      <w:lvlText w:val=""/>
      <w:lvlJc w:val="left"/>
      <w:pPr>
        <w:ind w:left="5040" w:hanging="360"/>
      </w:pPr>
      <w:rPr>
        <w:rFonts w:ascii="Symbol" w:hAnsi="Symbol" w:hint="default"/>
      </w:rPr>
    </w:lvl>
    <w:lvl w:ilvl="7" w:tplc="43F0C8AA">
      <w:start w:val="1"/>
      <w:numFmt w:val="bullet"/>
      <w:lvlText w:val="o"/>
      <w:lvlJc w:val="left"/>
      <w:pPr>
        <w:ind w:left="5760" w:hanging="360"/>
      </w:pPr>
      <w:rPr>
        <w:rFonts w:ascii="Courier New" w:hAnsi="Courier New" w:hint="default"/>
      </w:rPr>
    </w:lvl>
    <w:lvl w:ilvl="8" w:tplc="C60EA496">
      <w:start w:val="1"/>
      <w:numFmt w:val="bullet"/>
      <w:lvlText w:val=""/>
      <w:lvlJc w:val="left"/>
      <w:pPr>
        <w:ind w:left="6480" w:hanging="360"/>
      </w:pPr>
      <w:rPr>
        <w:rFonts w:ascii="Wingdings" w:hAnsi="Wingdings" w:hint="default"/>
      </w:rPr>
    </w:lvl>
  </w:abstractNum>
  <w:abstractNum w:abstractNumId="3" w15:restartNumberingAfterBreak="0">
    <w:nsid w:val="6D42358B"/>
    <w:multiLevelType w:val="hybridMultilevel"/>
    <w:tmpl w:val="FFFFFFFF"/>
    <w:lvl w:ilvl="0" w:tplc="786E7BD2">
      <w:start w:val="1"/>
      <w:numFmt w:val="bullet"/>
      <w:lvlText w:val=""/>
      <w:lvlJc w:val="left"/>
      <w:pPr>
        <w:ind w:left="720" w:hanging="360"/>
      </w:pPr>
      <w:rPr>
        <w:rFonts w:ascii="Symbol" w:hAnsi="Symbol" w:hint="default"/>
      </w:rPr>
    </w:lvl>
    <w:lvl w:ilvl="1" w:tplc="A092B2D4">
      <w:start w:val="1"/>
      <w:numFmt w:val="bullet"/>
      <w:lvlText w:val="o"/>
      <w:lvlJc w:val="left"/>
      <w:pPr>
        <w:ind w:left="1440" w:hanging="360"/>
      </w:pPr>
      <w:rPr>
        <w:rFonts w:ascii="Courier New" w:hAnsi="Courier New" w:hint="default"/>
      </w:rPr>
    </w:lvl>
    <w:lvl w:ilvl="2" w:tplc="17F09766">
      <w:start w:val="1"/>
      <w:numFmt w:val="bullet"/>
      <w:lvlText w:val=""/>
      <w:lvlJc w:val="left"/>
      <w:pPr>
        <w:ind w:left="2160" w:hanging="360"/>
      </w:pPr>
      <w:rPr>
        <w:rFonts w:ascii="Wingdings" w:hAnsi="Wingdings" w:hint="default"/>
      </w:rPr>
    </w:lvl>
    <w:lvl w:ilvl="3" w:tplc="D292E3DE">
      <w:start w:val="1"/>
      <w:numFmt w:val="bullet"/>
      <w:lvlText w:val=""/>
      <w:lvlJc w:val="left"/>
      <w:pPr>
        <w:ind w:left="2880" w:hanging="360"/>
      </w:pPr>
      <w:rPr>
        <w:rFonts w:ascii="Symbol" w:hAnsi="Symbol" w:hint="default"/>
      </w:rPr>
    </w:lvl>
    <w:lvl w:ilvl="4" w:tplc="3746DC1C">
      <w:start w:val="1"/>
      <w:numFmt w:val="bullet"/>
      <w:lvlText w:val="o"/>
      <w:lvlJc w:val="left"/>
      <w:pPr>
        <w:ind w:left="3600" w:hanging="360"/>
      </w:pPr>
      <w:rPr>
        <w:rFonts w:ascii="Courier New" w:hAnsi="Courier New" w:hint="default"/>
      </w:rPr>
    </w:lvl>
    <w:lvl w:ilvl="5" w:tplc="D71AA6C8">
      <w:start w:val="1"/>
      <w:numFmt w:val="bullet"/>
      <w:lvlText w:val=""/>
      <w:lvlJc w:val="left"/>
      <w:pPr>
        <w:ind w:left="4320" w:hanging="360"/>
      </w:pPr>
      <w:rPr>
        <w:rFonts w:ascii="Wingdings" w:hAnsi="Wingdings" w:hint="default"/>
      </w:rPr>
    </w:lvl>
    <w:lvl w:ilvl="6" w:tplc="EBA49972">
      <w:start w:val="1"/>
      <w:numFmt w:val="bullet"/>
      <w:lvlText w:val=""/>
      <w:lvlJc w:val="left"/>
      <w:pPr>
        <w:ind w:left="5040" w:hanging="360"/>
      </w:pPr>
      <w:rPr>
        <w:rFonts w:ascii="Symbol" w:hAnsi="Symbol" w:hint="default"/>
      </w:rPr>
    </w:lvl>
    <w:lvl w:ilvl="7" w:tplc="5578665A">
      <w:start w:val="1"/>
      <w:numFmt w:val="bullet"/>
      <w:lvlText w:val="o"/>
      <w:lvlJc w:val="left"/>
      <w:pPr>
        <w:ind w:left="5760" w:hanging="360"/>
      </w:pPr>
      <w:rPr>
        <w:rFonts w:ascii="Courier New" w:hAnsi="Courier New" w:hint="default"/>
      </w:rPr>
    </w:lvl>
    <w:lvl w:ilvl="8" w:tplc="008E8508">
      <w:start w:val="1"/>
      <w:numFmt w:val="bullet"/>
      <w:lvlText w:val=""/>
      <w:lvlJc w:val="left"/>
      <w:pPr>
        <w:ind w:left="6480" w:hanging="360"/>
      </w:pPr>
      <w:rPr>
        <w:rFonts w:ascii="Wingdings" w:hAnsi="Wingdings" w:hint="default"/>
      </w:rPr>
    </w:lvl>
  </w:abstractNum>
  <w:abstractNum w:abstractNumId="4" w15:restartNumberingAfterBreak="0">
    <w:nsid w:val="7D80DDCE"/>
    <w:multiLevelType w:val="hybridMultilevel"/>
    <w:tmpl w:val="FFFFFFFF"/>
    <w:lvl w:ilvl="0" w:tplc="90F0AFCC">
      <w:start w:val="1"/>
      <w:numFmt w:val="upperRoman"/>
      <w:lvlText w:val="%1."/>
      <w:lvlJc w:val="left"/>
      <w:pPr>
        <w:ind w:left="720" w:hanging="360"/>
      </w:pPr>
    </w:lvl>
    <w:lvl w:ilvl="1" w:tplc="9EC80A5E">
      <w:start w:val="1"/>
      <w:numFmt w:val="lowerLetter"/>
      <w:lvlText w:val="%2."/>
      <w:lvlJc w:val="left"/>
      <w:pPr>
        <w:ind w:left="1440" w:hanging="360"/>
      </w:pPr>
    </w:lvl>
    <w:lvl w:ilvl="2" w:tplc="11704D60">
      <w:start w:val="1"/>
      <w:numFmt w:val="lowerRoman"/>
      <w:lvlText w:val="%3."/>
      <w:lvlJc w:val="right"/>
      <w:pPr>
        <w:ind w:left="2160" w:hanging="180"/>
      </w:pPr>
    </w:lvl>
    <w:lvl w:ilvl="3" w:tplc="ACC6CDBC">
      <w:start w:val="1"/>
      <w:numFmt w:val="decimal"/>
      <w:lvlText w:val="%4."/>
      <w:lvlJc w:val="left"/>
      <w:pPr>
        <w:ind w:left="2880" w:hanging="360"/>
      </w:pPr>
    </w:lvl>
    <w:lvl w:ilvl="4" w:tplc="2CCCFDCC">
      <w:start w:val="1"/>
      <w:numFmt w:val="lowerLetter"/>
      <w:lvlText w:val="%5."/>
      <w:lvlJc w:val="left"/>
      <w:pPr>
        <w:ind w:left="3600" w:hanging="360"/>
      </w:pPr>
    </w:lvl>
    <w:lvl w:ilvl="5" w:tplc="018CB3DE">
      <w:start w:val="1"/>
      <w:numFmt w:val="lowerRoman"/>
      <w:lvlText w:val="%6."/>
      <w:lvlJc w:val="right"/>
      <w:pPr>
        <w:ind w:left="4320" w:hanging="180"/>
      </w:pPr>
    </w:lvl>
    <w:lvl w:ilvl="6" w:tplc="CC903EAE">
      <w:start w:val="1"/>
      <w:numFmt w:val="decimal"/>
      <w:lvlText w:val="%7."/>
      <w:lvlJc w:val="left"/>
      <w:pPr>
        <w:ind w:left="5040" w:hanging="360"/>
      </w:pPr>
    </w:lvl>
    <w:lvl w:ilvl="7" w:tplc="15940D78">
      <w:start w:val="1"/>
      <w:numFmt w:val="lowerLetter"/>
      <w:lvlText w:val="%8."/>
      <w:lvlJc w:val="left"/>
      <w:pPr>
        <w:ind w:left="5760" w:hanging="360"/>
      </w:pPr>
    </w:lvl>
    <w:lvl w:ilvl="8" w:tplc="030C5C24">
      <w:start w:val="1"/>
      <w:numFmt w:val="lowerRoman"/>
      <w:lvlText w:val="%9."/>
      <w:lvlJc w:val="right"/>
      <w:pPr>
        <w:ind w:left="6480" w:hanging="180"/>
      </w:pPr>
    </w:lvl>
  </w:abstractNum>
  <w:num w:numId="1" w16cid:durableId="1292977711">
    <w:abstractNumId w:val="2"/>
  </w:num>
  <w:num w:numId="2" w16cid:durableId="534316613">
    <w:abstractNumId w:val="3"/>
  </w:num>
  <w:num w:numId="3" w16cid:durableId="1717851660">
    <w:abstractNumId w:val="0"/>
  </w:num>
  <w:num w:numId="4" w16cid:durableId="2139376469">
    <w:abstractNumId w:val="1"/>
  </w:num>
  <w:num w:numId="5" w16cid:durableId="15980531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40"/>
  <w:proofState w:spelling="clean"/>
  <w:revisionView w:inkAnnotations="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09BB179"/>
    <w:rsid w:val="004421E3"/>
    <w:rsid w:val="005D782D"/>
    <w:rsid w:val="005F1C85"/>
    <w:rsid w:val="00964305"/>
    <w:rsid w:val="00AE1902"/>
    <w:rsid w:val="00CB70F6"/>
    <w:rsid w:val="00D577EB"/>
    <w:rsid w:val="309BB179"/>
    <w:rsid w:val="77F27E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BB179"/>
  <w15:chartTrackingRefBased/>
  <w15:docId w15:val="{C532968E-1A91-48C8-A3A4-0704E1BA2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image" Target="media/image3.pn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png" /><Relationship Id="rId5" Type="http://schemas.openxmlformats.org/officeDocument/2006/relationships/image" Target="media/image1.png" /><Relationship Id="rId4" Type="http://schemas.openxmlformats.org/officeDocument/2006/relationships/webSettings" Target="webSettings.xml" /><Relationship Id="rId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517</Words>
  <Characters>2849</Characters>
  <Application>Microsoft Office Word</Application>
  <DocSecurity>0</DocSecurity>
  <Lines>23</Lines>
  <Paragraphs>6</Paragraphs>
  <ScaleCrop>false</ScaleCrop>
  <Company/>
  <LinksUpToDate>false</LinksUpToDate>
  <CharactersWithSpaces>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Marlene Gonzalez Sances</dc:creator>
  <cp:keywords/>
  <dc:description/>
  <cp:lastModifiedBy>Marlene Gonzalez Sances</cp:lastModifiedBy>
  <cp:revision>2</cp:revision>
  <dcterms:created xsi:type="dcterms:W3CDTF">2024-10-08T07:34:00Z</dcterms:created>
  <dcterms:modified xsi:type="dcterms:W3CDTF">2024-10-08T07:34:00Z</dcterms:modified>
</cp:coreProperties>
</file>